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1824"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0800"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782A5C" w:rsidRDefault="00782A5C" w:rsidP="000B2133">
                                  <w:pPr>
                                    <w:rPr>
                                      <w:b/>
                                      <w:color w:val="FFFFFF" w:themeColor="background1"/>
                                      <w:sz w:val="68"/>
                                      <w:szCs w:val="68"/>
                                    </w:rPr>
                                  </w:pPr>
                                  <w:r w:rsidRPr="00782A5C">
                                    <w:rPr>
                                      <w:b/>
                                      <w:color w:val="FFFFFF" w:themeColor="background1"/>
                                      <w:sz w:val="68"/>
                                      <w:szCs w:val="68"/>
                                    </w:rPr>
                                    <w:t>Making Every Contact Count</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6D5D28">
                                    <w:rPr>
                                      <w:b/>
                                      <w:color w:val="FFFFFF" w:themeColor="background1"/>
                                      <w:sz w:val="20"/>
                                    </w:rPr>
                                    <w:t>June</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6D5D28">
                                    <w:rPr>
                                      <w:b/>
                                      <w:color w:val="FFFFFF" w:themeColor="background1"/>
                                      <w:sz w:val="20"/>
                                    </w:rPr>
                                    <w:t xml:space="preserve"> (V1.00)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782A5C" w:rsidRDefault="00782A5C" w:rsidP="000B2133">
                            <w:pPr>
                              <w:rPr>
                                <w:b/>
                                <w:color w:val="FFFFFF" w:themeColor="background1"/>
                                <w:sz w:val="68"/>
                                <w:szCs w:val="68"/>
                              </w:rPr>
                            </w:pPr>
                            <w:r w:rsidRPr="00782A5C">
                              <w:rPr>
                                <w:b/>
                                <w:color w:val="FFFFFF" w:themeColor="background1"/>
                                <w:sz w:val="68"/>
                                <w:szCs w:val="68"/>
                              </w:rPr>
                              <w:t>Making Every Contact Count</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6D5D28">
                              <w:rPr>
                                <w:b/>
                                <w:color w:val="FFFFFF" w:themeColor="background1"/>
                                <w:sz w:val="20"/>
                              </w:rPr>
                              <w:t>June</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6D5D28">
                              <w:rPr>
                                <w:b/>
                                <w:color w:val="FFFFFF" w:themeColor="background1"/>
                                <w:sz w:val="20"/>
                              </w:rPr>
                              <w:t xml:space="preserve"> (V1.00)</w:t>
                            </w:r>
                            <w:bookmarkStart w:id="1" w:name="_GoBack"/>
                            <w:bookmarkEnd w:id="1"/>
                          </w:p>
                        </w:txbxContent>
                      </v:textbox>
                    </v:shape>
                  </w:pict>
                </mc:Fallback>
              </mc:AlternateContent>
            </w:r>
          </w:p>
        </w:tc>
      </w:tr>
    </w:tbl>
    <w:p w:rsidR="00F0692D" w:rsidRPr="00F0692D" w:rsidRDefault="00F0692D" w:rsidP="00F0692D">
      <w:pPr>
        <w:pStyle w:val="PHEBodycopy"/>
        <w:spacing w:line="240" w:lineRule="auto"/>
        <w:rPr>
          <w:sz w:val="16"/>
        </w:rPr>
      </w:pPr>
    </w:p>
    <w:p w:rsidR="005D3AA4" w:rsidRPr="00416E9E" w:rsidRDefault="00743E91" w:rsidP="00F0692D">
      <w:pPr>
        <w:pStyle w:val="PHEBodycopy"/>
        <w:spacing w:line="240" w:lineRule="auto"/>
        <w:rPr>
          <w:sz w:val="22"/>
        </w:rPr>
      </w:pPr>
      <w:r>
        <w:t>This briefing</w:t>
      </w:r>
      <w:r w:rsidR="00FF7911" w:rsidRPr="00FF7911">
        <w:t xml:space="preserve"> </w:t>
      </w:r>
      <w:r w:rsidR="003872FF">
        <w:t>paper has been</w:t>
      </w:r>
      <w:r w:rsidR="00FF7911" w:rsidRPr="00FF7911">
        <w:t xml:space="preserve"> </w:t>
      </w:r>
      <w:r w:rsidR="005D3AA4">
        <w:t>produc</w:t>
      </w:r>
      <w:r w:rsidR="00FF7911" w:rsidRPr="00FF7911">
        <w:t>ed by Public Health England</w:t>
      </w:r>
      <w:r w:rsidR="00F60CE6">
        <w:t>’s</w:t>
      </w:r>
      <w:r w:rsidR="00E46DF9">
        <w:t xml:space="preserve"> </w:t>
      </w:r>
      <w:r w:rsidR="005F373F">
        <w:t>East of England</w:t>
      </w:r>
      <w:r w:rsidR="00F60CE6">
        <w:t xml:space="preserve"> Health and Wellbeing Team</w:t>
      </w:r>
      <w:r w:rsidR="005F373F">
        <w:t>.</w:t>
      </w:r>
      <w:r w:rsidR="000E541C">
        <w:t xml:space="preserve"> It is designed to provide easy access to key reference points and useful resources around </w:t>
      </w:r>
      <w:r w:rsidR="00FF7911" w:rsidRPr="00FF7911">
        <w:t xml:space="preserve">the </w:t>
      </w:r>
      <w:r w:rsidR="00782A5C">
        <w:t>Making Every Contact Count (MECC)</w:t>
      </w:r>
      <w:r w:rsidR="000E541C">
        <w:t xml:space="preserve"> agenda </w:t>
      </w:r>
      <w:r w:rsidR="004C24E3">
        <w:t xml:space="preserve">and </w:t>
      </w:r>
      <w:r w:rsidR="002358A6">
        <w:t>will be updated on a regular basis as new information becomes available.</w:t>
      </w:r>
      <w:r w:rsidR="0094095A">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D24181" w:rsidP="0072693A">
            <w:pPr>
              <w:pStyle w:val="PHEBodycopy"/>
              <w:spacing w:line="240" w:lineRule="auto"/>
              <w:ind w:left="1026"/>
            </w:pPr>
            <w:r>
              <w:rPr>
                <w:sz w:val="32"/>
              </w:rPr>
              <w:t xml:space="preserve">What is </w:t>
            </w:r>
            <w:r w:rsidR="00782A5C">
              <w:rPr>
                <w:sz w:val="32"/>
              </w:rPr>
              <w:t>MECC?</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D4F59" w:rsidRPr="005938F8" w:rsidRDefault="00AD4F59" w:rsidP="0072693A">
      <w:pPr>
        <w:rPr>
          <w:rFonts w:eastAsiaTheme="minorHAnsi"/>
          <w:b/>
          <w:vanish/>
          <w:color w:val="98002E"/>
          <w:szCs w:val="24"/>
        </w:rPr>
      </w:pPr>
    </w:p>
    <w:p w:rsidR="00EC6754" w:rsidRPr="005938F8" w:rsidRDefault="00EC6754" w:rsidP="0072693A">
      <w:pPr>
        <w:pStyle w:val="Heading3"/>
        <w:spacing w:line="240" w:lineRule="auto"/>
        <w:rPr>
          <w:rFonts w:eastAsiaTheme="minorHAnsi" w:cs="Arial"/>
          <w:b/>
          <w:vanish/>
          <w:sz w:val="24"/>
          <w:szCs w:val="24"/>
        </w:rPr>
      </w:pPr>
    </w:p>
    <w:p w:rsidR="006F1C6A" w:rsidRDefault="006F1C6A" w:rsidP="0072693A">
      <w:pPr>
        <w:rPr>
          <w:b/>
          <w:color w:val="98002E"/>
        </w:rPr>
      </w:pPr>
      <w:bookmarkStart w:id="2" w:name="_Toc477080922"/>
    </w:p>
    <w:p w:rsidR="000540FE" w:rsidRDefault="00782A5C" w:rsidP="00310215">
      <w:pPr>
        <w:rPr>
          <w:szCs w:val="24"/>
        </w:rPr>
      </w:pPr>
      <w:r>
        <w:rPr>
          <w:szCs w:val="24"/>
        </w:rPr>
        <w:t>MECC is an approach to behaviour change that utilises the millions of day-to-day interactions that organisations and people have with other people to support them in making positive changes to their physical and mental health and wellbeing. MECC enables the opportunistic delivery of consistent and concise healthy lifestyle information and enables individuals to engage in conversations about their health at scale across organisations and populations.</w:t>
      </w:r>
      <w:r w:rsidR="003053F4">
        <w:rPr>
          <w:szCs w:val="24"/>
        </w:rPr>
        <w:t xml:space="preserve"> You can find out more information on its own website </w:t>
      </w:r>
      <w:hyperlink r:id="rId9" w:history="1">
        <w:r w:rsidR="003053F4" w:rsidRPr="003053F4">
          <w:rPr>
            <w:rStyle w:val="Hyperlink"/>
            <w:b/>
            <w:szCs w:val="24"/>
            <w:u w:val="single"/>
          </w:rPr>
          <w:t>here</w:t>
        </w:r>
      </w:hyperlink>
      <w:r w:rsidR="003053F4">
        <w:rPr>
          <w:szCs w:val="24"/>
        </w:rPr>
        <w:t>.</w:t>
      </w:r>
    </w:p>
    <w:p w:rsidR="009831CD" w:rsidRPr="00782A5C" w:rsidRDefault="009831CD" w:rsidP="009831CD">
      <w:pPr>
        <w:rPr>
          <w:b/>
          <w:color w:val="000000"/>
          <w:szCs w:val="24"/>
        </w:rPr>
      </w:pPr>
    </w:p>
    <w:p w:rsidR="00D24181" w:rsidRDefault="00D24181" w:rsidP="00D24181">
      <w:pPr>
        <w:rPr>
          <w:szCs w:val="24"/>
          <w:lang w:val="en"/>
        </w:rPr>
      </w:pPr>
      <w:r w:rsidRPr="00DE07C9">
        <w:rPr>
          <w:noProof/>
          <w:szCs w:val="24"/>
          <w:lang w:eastAsia="en-GB"/>
        </w:rPr>
        <mc:AlternateContent>
          <mc:Choice Requires="wps">
            <w:drawing>
              <wp:anchor distT="0" distB="0" distL="114300" distR="114300" simplePos="0" relativeHeight="251654656" behindDoc="0" locked="0" layoutInCell="1" allowOverlap="1" wp14:anchorId="2E14DA72" wp14:editId="710D0587">
                <wp:simplePos x="0" y="0"/>
                <wp:positionH relativeFrom="column">
                  <wp:align>center</wp:align>
                </wp:positionH>
                <wp:positionV relativeFrom="paragraph">
                  <wp:posOffset>0</wp:posOffset>
                </wp:positionV>
                <wp:extent cx="7824470" cy="37080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4DA72" id="_x0000_s1027" type="#_x0000_t202" style="position:absolute;margin-left:0;margin-top:0;width:616.1pt;height:29.2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1w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G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czF1wIgIAACIEAAAOAAAAAAAAAAAAAAAAAC4CAABkcnMvZTJvRG9jLnhtbFBL&#10;AQItABQABgAIAAAAIQDHdXqK2wAAAAUBAAAPAAAAAAAAAAAAAAAAAHwEAABkcnMvZG93bnJldi54&#10;bWxQSwUGAAAAAAQABADzAAAAhAUAAAAA&#10;" fillcolor="#980029" stroked="f">
                <v:textbo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v:textbox>
              </v:shape>
            </w:pict>
          </mc:Fallback>
        </mc:AlternateContent>
      </w:r>
    </w:p>
    <w:p w:rsidR="00D24181" w:rsidRDefault="00D24181" w:rsidP="00D24181">
      <w:pPr>
        <w:rPr>
          <w:szCs w:val="24"/>
          <w:lang w:val="en"/>
        </w:rPr>
      </w:pPr>
    </w:p>
    <w:p w:rsidR="00D24181" w:rsidRDefault="00D24181" w:rsidP="00D24181">
      <w:pPr>
        <w:rPr>
          <w:b/>
          <w:color w:val="000000"/>
          <w:sz w:val="18"/>
          <w:szCs w:val="24"/>
        </w:rPr>
      </w:pPr>
    </w:p>
    <w:p w:rsidR="002961EF" w:rsidRDefault="002961EF" w:rsidP="002961EF">
      <w:pPr>
        <w:rPr>
          <w:b/>
          <w:szCs w:val="24"/>
        </w:rPr>
      </w:pPr>
      <w:r w:rsidRPr="00C622B6">
        <w:rPr>
          <w:b/>
          <w:szCs w:val="24"/>
        </w:rPr>
        <w:t>NHS Standard Contract</w:t>
      </w:r>
      <w:r>
        <w:rPr>
          <w:b/>
          <w:szCs w:val="24"/>
        </w:rPr>
        <w:t xml:space="preserve"> 2019/20: Service Conditions</w:t>
      </w:r>
    </w:p>
    <w:p w:rsidR="002961EF" w:rsidRDefault="002961EF" w:rsidP="002961EF">
      <w:pPr>
        <w:rPr>
          <w:szCs w:val="24"/>
        </w:rPr>
      </w:pPr>
      <w:r>
        <w:rPr>
          <w:szCs w:val="24"/>
        </w:rPr>
        <w:t xml:space="preserve">This </w:t>
      </w:r>
      <w:hyperlink r:id="rId10" w:history="1">
        <w:r w:rsidRPr="0063614E">
          <w:rPr>
            <w:rStyle w:val="Hyperlink"/>
            <w:b/>
            <w:szCs w:val="24"/>
            <w:u w:val="single"/>
          </w:rPr>
          <w:t>contract</w:t>
        </w:r>
      </w:hyperlink>
      <w:r>
        <w:rPr>
          <w:szCs w:val="24"/>
        </w:rPr>
        <w:t xml:space="preserve"> (</w:t>
      </w:r>
      <w:r>
        <w:rPr>
          <w:b/>
          <w:szCs w:val="24"/>
        </w:rPr>
        <w:t>March 2019</w:t>
      </w:r>
      <w:r>
        <w:rPr>
          <w:szCs w:val="24"/>
        </w:rPr>
        <w:t>) requires providers to develop and maintain an organisational plan for MECC, in accordance with its’ principles and guidance. This is detailed in Section SC8.</w:t>
      </w:r>
    </w:p>
    <w:p w:rsidR="002961EF" w:rsidRDefault="002961EF" w:rsidP="00782A5C">
      <w:pPr>
        <w:rPr>
          <w:b/>
          <w:szCs w:val="24"/>
        </w:rPr>
      </w:pPr>
    </w:p>
    <w:p w:rsidR="009B195A" w:rsidRDefault="0086241D" w:rsidP="00782A5C">
      <w:pPr>
        <w:rPr>
          <w:b/>
          <w:szCs w:val="24"/>
        </w:rPr>
      </w:pPr>
      <w:r>
        <w:rPr>
          <w:b/>
          <w:szCs w:val="24"/>
        </w:rPr>
        <w:t>Making Every Contact Count: Consensus Statement</w:t>
      </w:r>
    </w:p>
    <w:p w:rsidR="0086241D" w:rsidRPr="00A75769" w:rsidRDefault="00A75769" w:rsidP="00782A5C">
      <w:pPr>
        <w:rPr>
          <w:szCs w:val="24"/>
        </w:rPr>
      </w:pPr>
      <w:r>
        <w:rPr>
          <w:szCs w:val="24"/>
        </w:rPr>
        <w:t xml:space="preserve">This </w:t>
      </w:r>
      <w:hyperlink r:id="rId11" w:history="1">
        <w:r w:rsidRPr="00F83BEF">
          <w:rPr>
            <w:rStyle w:val="Hyperlink"/>
            <w:b/>
            <w:szCs w:val="24"/>
            <w:u w:val="single"/>
          </w:rPr>
          <w:t>consensus statement</w:t>
        </w:r>
      </w:hyperlink>
      <w:r>
        <w:rPr>
          <w:szCs w:val="24"/>
        </w:rPr>
        <w:t xml:space="preserve"> (</w:t>
      </w:r>
      <w:r w:rsidRPr="00F83BEF">
        <w:rPr>
          <w:b/>
          <w:szCs w:val="24"/>
        </w:rPr>
        <w:t>April 2016</w:t>
      </w:r>
      <w:r>
        <w:rPr>
          <w:szCs w:val="24"/>
        </w:rPr>
        <w:t xml:space="preserve">) describes the commitment of several organisations, including PHE, NHSE, Health Education England and others, to work together to maximise support </w:t>
      </w:r>
      <w:r w:rsidR="00E14C64">
        <w:rPr>
          <w:szCs w:val="24"/>
        </w:rPr>
        <w:t xml:space="preserve">for population behaviour change, and help individuals and communities significantly reduce their risk of disease. This statement has been developed to provide clarity on what is meant by MECC, to highlight the </w:t>
      </w:r>
      <w:r w:rsidR="00F83BEF">
        <w:rPr>
          <w:szCs w:val="24"/>
        </w:rPr>
        <w:t>evidence base and to illustrate</w:t>
      </w:r>
      <w:r w:rsidR="00E14C64">
        <w:rPr>
          <w:szCs w:val="24"/>
        </w:rPr>
        <w:t xml:space="preserve"> the population and workforce benefits of this behaviour change approach.</w:t>
      </w:r>
    </w:p>
    <w:p w:rsidR="00A75769" w:rsidRDefault="00A75769" w:rsidP="00782A5C">
      <w:pPr>
        <w:rPr>
          <w:b/>
          <w:szCs w:val="24"/>
        </w:rPr>
      </w:pPr>
    </w:p>
    <w:p w:rsidR="009827A3" w:rsidRPr="00CC7B68" w:rsidRDefault="009827A3" w:rsidP="00782A5C">
      <w:pPr>
        <w:rPr>
          <w:b/>
          <w:szCs w:val="24"/>
        </w:rPr>
      </w:pPr>
      <w:r w:rsidRPr="00CC7B68">
        <w:rPr>
          <w:b/>
          <w:szCs w:val="24"/>
        </w:rPr>
        <w:t>Healthy Conversations an</w:t>
      </w:r>
      <w:r w:rsidR="00CC7B68" w:rsidRPr="00CC7B68">
        <w:rPr>
          <w:b/>
          <w:szCs w:val="24"/>
        </w:rPr>
        <w:t>d the Allied Health Professionals</w:t>
      </w:r>
    </w:p>
    <w:p w:rsidR="009827A3" w:rsidRDefault="009827A3" w:rsidP="00782A5C">
      <w:pPr>
        <w:rPr>
          <w:szCs w:val="24"/>
        </w:rPr>
      </w:pPr>
      <w:r w:rsidRPr="00CC7B68">
        <w:rPr>
          <w:szCs w:val="24"/>
        </w:rPr>
        <w:t xml:space="preserve">This </w:t>
      </w:r>
      <w:hyperlink r:id="rId12" w:history="1">
        <w:r w:rsidRPr="00CC7B68">
          <w:rPr>
            <w:rStyle w:val="Hyperlink"/>
            <w:b/>
            <w:szCs w:val="24"/>
            <w:u w:val="single"/>
          </w:rPr>
          <w:t>report</w:t>
        </w:r>
      </w:hyperlink>
      <w:r w:rsidRPr="00CC7B68">
        <w:rPr>
          <w:szCs w:val="24"/>
        </w:rPr>
        <w:t xml:space="preserve"> (</w:t>
      </w:r>
      <w:r w:rsidRPr="00CC7B68">
        <w:rPr>
          <w:b/>
          <w:szCs w:val="24"/>
        </w:rPr>
        <w:t>March 2015</w:t>
      </w:r>
      <w:r w:rsidR="005345BF" w:rsidRPr="00CC7B68">
        <w:rPr>
          <w:szCs w:val="24"/>
        </w:rPr>
        <w:t>) details the willingness to engage in conversations about healthy lifestyles with the Allied Health Professionals</w:t>
      </w:r>
      <w:r w:rsidR="00CC7B68" w:rsidRPr="00CC7B68">
        <w:rPr>
          <w:szCs w:val="24"/>
        </w:rPr>
        <w:t xml:space="preserve"> (AHP)</w:t>
      </w:r>
      <w:r w:rsidR="005345BF" w:rsidRPr="00CC7B68">
        <w:rPr>
          <w:szCs w:val="24"/>
        </w:rPr>
        <w:t xml:space="preserve"> patients</w:t>
      </w:r>
      <w:r w:rsidR="00CC7B68" w:rsidRPr="00CC7B68">
        <w:rPr>
          <w:szCs w:val="24"/>
        </w:rPr>
        <w:t xml:space="preserve">, based on a survey of over 1,000 AHPs. Overall willingness was there but several challenges were identified and </w:t>
      </w:r>
      <w:proofErr w:type="gramStart"/>
      <w:r w:rsidR="00CC7B68" w:rsidRPr="00CC7B68">
        <w:rPr>
          <w:szCs w:val="24"/>
        </w:rPr>
        <w:t>a number of</w:t>
      </w:r>
      <w:proofErr w:type="gramEnd"/>
      <w:r w:rsidR="00CC7B68" w:rsidRPr="00CC7B68">
        <w:rPr>
          <w:szCs w:val="24"/>
        </w:rPr>
        <w:t xml:space="preserve"> recommendations to overcome these were noted.</w:t>
      </w:r>
      <w:r w:rsidR="00CC7B68">
        <w:rPr>
          <w:szCs w:val="24"/>
        </w:rPr>
        <w:t xml:space="preserve"> </w:t>
      </w:r>
    </w:p>
    <w:p w:rsidR="003B3028" w:rsidRDefault="003B3028" w:rsidP="00782A5C">
      <w:pPr>
        <w:rPr>
          <w:szCs w:val="24"/>
        </w:rPr>
      </w:pPr>
    </w:p>
    <w:p w:rsidR="00FE19C5" w:rsidRDefault="00FE19C5" w:rsidP="00D24181">
      <w:pPr>
        <w:rPr>
          <w:b/>
          <w:color w:val="000000"/>
          <w:sz w:val="18"/>
          <w:szCs w:val="24"/>
        </w:rPr>
      </w:pPr>
    </w:p>
    <w:p w:rsidR="0078020D" w:rsidRPr="006A46BC" w:rsidRDefault="0078020D" w:rsidP="00D24181">
      <w:pPr>
        <w:rPr>
          <w:b/>
          <w:color w:val="000000"/>
          <w:sz w:val="18"/>
          <w:szCs w:val="24"/>
        </w:rPr>
      </w:pPr>
    </w:p>
    <w:p w:rsidR="00DE07C9" w:rsidRDefault="00F172B0" w:rsidP="0072693A">
      <w:pPr>
        <w:rPr>
          <w:szCs w:val="24"/>
          <w:lang w:val="en"/>
        </w:rPr>
      </w:pPr>
      <w:r w:rsidRPr="00DE07C9">
        <w:rPr>
          <w:noProof/>
          <w:szCs w:val="24"/>
          <w:lang w:eastAsia="en-GB"/>
        </w:rPr>
        <w:lastRenderedPageBreak/>
        <mc:AlternateContent>
          <mc:Choice Requires="wps">
            <w:drawing>
              <wp:anchor distT="0" distB="0" distL="114300" distR="114300" simplePos="0" relativeHeight="251651584" behindDoc="0" locked="0" layoutInCell="1" allowOverlap="1" wp14:anchorId="5C076595" wp14:editId="22D0EBC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595" id="_x0000_s1028" type="#_x0000_t202" style="position:absolute;margin-left:0;margin-top:0;width:616.1pt;height:29.2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63v7b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782A5C" w:rsidRPr="004A4A1C" w:rsidRDefault="00782A5C" w:rsidP="00782A5C">
      <w:pPr>
        <w:rPr>
          <w:sz w:val="16"/>
          <w:szCs w:val="24"/>
        </w:rPr>
      </w:pPr>
    </w:p>
    <w:p w:rsidR="004A4A1C" w:rsidRDefault="004A4A1C" w:rsidP="004A4A1C">
      <w:pPr>
        <w:rPr>
          <w:b/>
          <w:szCs w:val="24"/>
        </w:rPr>
      </w:pPr>
      <w:r w:rsidRPr="00FE19C5">
        <w:rPr>
          <w:b/>
          <w:szCs w:val="24"/>
        </w:rPr>
        <w:t>All Our Health</w:t>
      </w:r>
    </w:p>
    <w:p w:rsidR="004A4A1C" w:rsidRPr="00ED4E0A" w:rsidRDefault="004A4A1C" w:rsidP="004A4A1C">
      <w:pPr>
        <w:rPr>
          <w:szCs w:val="24"/>
        </w:rPr>
      </w:pPr>
      <w:r w:rsidRPr="00EC3E00">
        <w:rPr>
          <w:lang w:val="en"/>
        </w:rPr>
        <w:t xml:space="preserve">The PHE </w:t>
      </w:r>
      <w:hyperlink r:id="rId13" w:history="1">
        <w:r w:rsidRPr="00C939EC">
          <w:rPr>
            <w:rStyle w:val="Hyperlink"/>
            <w:b/>
            <w:u w:val="single"/>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xml:space="preserve">) is a framework of evidence </w:t>
      </w:r>
      <w:r>
        <w:rPr>
          <w:lang w:val="en"/>
        </w:rPr>
        <w:t>and call to action to all</w:t>
      </w:r>
      <w:r w:rsidRPr="00EC3E00">
        <w:rPr>
          <w:lang w:val="en"/>
        </w:rPr>
        <w:t xml:space="preserve"> healthcare professionals in England </w:t>
      </w:r>
      <w:r>
        <w:rPr>
          <w:lang w:val="en"/>
        </w:rPr>
        <w:t xml:space="preserve">to help them </w:t>
      </w:r>
      <w:r w:rsidRPr="00EC3E00">
        <w:rPr>
          <w:lang w:val="en"/>
        </w:rPr>
        <w:t xml:space="preserve">understand and maximise the impact on improving health outcomes and reducing health inequalities. </w:t>
      </w:r>
      <w:r>
        <w:rPr>
          <w:lang w:val="en"/>
        </w:rPr>
        <w:t>PHE has</w:t>
      </w:r>
      <w:r w:rsidRPr="00EC3E00">
        <w:rPr>
          <w:lang w:val="en"/>
        </w:rPr>
        <w:t xml:space="preserve"> published a resource </w:t>
      </w:r>
      <w:hyperlink r:id="rId14" w:history="1">
        <w:r w:rsidRPr="00C939EC">
          <w:rPr>
            <w:rStyle w:val="Hyperlink"/>
            <w:b/>
            <w:u w:val="single"/>
            <w:lang w:val="en"/>
          </w:rPr>
          <w:t>about the framework</w:t>
        </w:r>
      </w:hyperlink>
      <w:r>
        <w:rPr>
          <w:lang w:val="en"/>
        </w:rPr>
        <w:t xml:space="preserve"> </w:t>
      </w:r>
      <w:r w:rsidRPr="00EC3E00">
        <w:rPr>
          <w:lang w:val="en"/>
        </w:rPr>
        <w:t>and</w:t>
      </w:r>
      <w:r>
        <w:rPr>
          <w:lang w:val="en"/>
        </w:rPr>
        <w:t xml:space="preserve"> subsequent guidance around </w:t>
      </w:r>
      <w:hyperlink r:id="rId15" w:anchor="resources" w:history="1">
        <w:r w:rsidRPr="00ED4E0A">
          <w:rPr>
            <w:rStyle w:val="Hyperlink"/>
            <w:b/>
            <w:u w:val="single"/>
            <w:lang w:val="en"/>
          </w:rPr>
          <w:t>applying All Our Health</w:t>
        </w:r>
      </w:hyperlink>
      <w:r>
        <w:rPr>
          <w:lang w:val="en"/>
        </w:rPr>
        <w:t xml:space="preserve"> to a variety of areas of health improvement, health protection, healthcare public health and the wider determinants of health, such as </w:t>
      </w:r>
      <w:hyperlink r:id="rId16" w:history="1">
        <w:r w:rsidR="00C03D90" w:rsidRPr="00C03D90">
          <w:rPr>
            <w:rStyle w:val="Hyperlink"/>
            <w:b/>
            <w:u w:val="single"/>
            <w:lang w:val="en"/>
          </w:rPr>
          <w:t>social prescribing</w:t>
        </w:r>
      </w:hyperlink>
      <w:r w:rsidR="00C03D90">
        <w:rPr>
          <w:lang w:val="en"/>
        </w:rPr>
        <w:t xml:space="preserve"> (which includes MECC), </w:t>
      </w:r>
      <w:r>
        <w:rPr>
          <w:lang w:val="en"/>
        </w:rPr>
        <w:t>obesity, physical activity, workplace health, CVD and NHS Health Checks as well as many other topics.</w:t>
      </w:r>
    </w:p>
    <w:p w:rsidR="004A4A1C" w:rsidRDefault="004A4A1C" w:rsidP="002961EF">
      <w:pPr>
        <w:rPr>
          <w:b/>
          <w:szCs w:val="24"/>
        </w:rPr>
      </w:pPr>
    </w:p>
    <w:p w:rsidR="002961EF" w:rsidRDefault="002961EF" w:rsidP="002961EF">
      <w:pPr>
        <w:rPr>
          <w:b/>
          <w:szCs w:val="24"/>
        </w:rPr>
      </w:pPr>
      <w:r>
        <w:rPr>
          <w:b/>
          <w:szCs w:val="24"/>
        </w:rPr>
        <w:t>Making Every Contact Count: Implementation Guide</w:t>
      </w:r>
    </w:p>
    <w:p w:rsidR="002961EF" w:rsidRPr="00E32715" w:rsidRDefault="002961EF" w:rsidP="002961EF">
      <w:pPr>
        <w:rPr>
          <w:szCs w:val="24"/>
        </w:rPr>
      </w:pPr>
      <w:r>
        <w:rPr>
          <w:szCs w:val="24"/>
        </w:rPr>
        <w:t xml:space="preserve">This </w:t>
      </w:r>
      <w:hyperlink r:id="rId17" w:history="1">
        <w:r w:rsidRPr="00E32715">
          <w:rPr>
            <w:rStyle w:val="Hyperlink"/>
            <w:b/>
            <w:szCs w:val="24"/>
            <w:u w:val="single"/>
          </w:rPr>
          <w:t>tool</w:t>
        </w:r>
      </w:hyperlink>
      <w:r>
        <w:rPr>
          <w:szCs w:val="24"/>
        </w:rPr>
        <w:t xml:space="preserve"> (</w:t>
      </w:r>
      <w:r w:rsidRPr="00E32715">
        <w:rPr>
          <w:b/>
          <w:szCs w:val="24"/>
        </w:rPr>
        <w:t>July 2018</w:t>
      </w:r>
      <w:r>
        <w:rPr>
          <w:szCs w:val="24"/>
        </w:rPr>
        <w:t>) has been developed to support organisational readiness and aid the implementation of MECC. This resource will help organisations when assessing their current position as a health-promoting organisation and help to identify any areas for further input or improvement. It can also act as an implementation checklist.</w:t>
      </w:r>
    </w:p>
    <w:p w:rsidR="002961EF" w:rsidRDefault="002961EF" w:rsidP="002961EF">
      <w:pPr>
        <w:rPr>
          <w:b/>
          <w:szCs w:val="24"/>
        </w:rPr>
      </w:pPr>
    </w:p>
    <w:p w:rsidR="002961EF" w:rsidRDefault="002961EF" w:rsidP="002961EF">
      <w:pPr>
        <w:rPr>
          <w:b/>
          <w:szCs w:val="24"/>
        </w:rPr>
      </w:pPr>
      <w:r>
        <w:rPr>
          <w:b/>
          <w:szCs w:val="24"/>
        </w:rPr>
        <w:t>Making Every Contact Count: Quality Marker Checklist for Training Resources</w:t>
      </w:r>
    </w:p>
    <w:p w:rsidR="002961EF" w:rsidRDefault="002961EF" w:rsidP="002961EF">
      <w:pPr>
        <w:rPr>
          <w:szCs w:val="24"/>
        </w:rPr>
      </w:pPr>
      <w:r>
        <w:rPr>
          <w:szCs w:val="24"/>
        </w:rPr>
        <w:t xml:space="preserve">This </w:t>
      </w:r>
      <w:hyperlink r:id="rId18" w:history="1">
        <w:r w:rsidRPr="00C622B6">
          <w:rPr>
            <w:rStyle w:val="Hyperlink"/>
            <w:b/>
            <w:szCs w:val="24"/>
            <w:u w:val="single"/>
          </w:rPr>
          <w:t>resource</w:t>
        </w:r>
      </w:hyperlink>
      <w:r>
        <w:rPr>
          <w:szCs w:val="24"/>
        </w:rPr>
        <w:t xml:space="preserve"> (</w:t>
      </w:r>
      <w:r w:rsidRPr="00C622B6">
        <w:rPr>
          <w:b/>
          <w:szCs w:val="24"/>
        </w:rPr>
        <w:t>July 2018</w:t>
      </w:r>
      <w:r>
        <w:rPr>
          <w:szCs w:val="24"/>
        </w:rPr>
        <w:t xml:space="preserve">) provides quality markers and a checklist that organisations can use to assess their MECC training programmes or to use as a guide to develop a new training package. The quality markers are split into 3 sections: context of the training (why MECC?); skills and knowledge (how to deliver MECC) and evaluation (is it working?). Each marker has a set of indicators detailing what should be in place. </w:t>
      </w:r>
    </w:p>
    <w:p w:rsidR="00F0692D" w:rsidRDefault="00F0692D" w:rsidP="00782A5C">
      <w:pPr>
        <w:rPr>
          <w:sz w:val="28"/>
          <w:szCs w:val="24"/>
          <w:lang w:val="en"/>
        </w:rPr>
      </w:pPr>
    </w:p>
    <w:p w:rsidR="00FE15EB" w:rsidRDefault="00FE15EB" w:rsidP="00FE15EB">
      <w:pPr>
        <w:rPr>
          <w:b/>
          <w:szCs w:val="24"/>
        </w:rPr>
      </w:pPr>
      <w:r w:rsidRPr="00FE15EB">
        <w:rPr>
          <w:b/>
          <w:szCs w:val="24"/>
        </w:rPr>
        <w:t>Everyday Interactions: Measuring the Public Health Impact of Healthcare Professionals</w:t>
      </w:r>
    </w:p>
    <w:p w:rsidR="00FE15EB" w:rsidRPr="00FE15EB" w:rsidRDefault="00FE15EB" w:rsidP="00FE15EB">
      <w:pPr>
        <w:rPr>
          <w:szCs w:val="24"/>
        </w:rPr>
      </w:pPr>
      <w:r>
        <w:rPr>
          <w:szCs w:val="24"/>
        </w:rPr>
        <w:t xml:space="preserve">This </w:t>
      </w:r>
      <w:hyperlink r:id="rId19" w:history="1">
        <w:r w:rsidRPr="00FE15EB">
          <w:rPr>
            <w:rStyle w:val="Hyperlink"/>
            <w:b/>
            <w:szCs w:val="24"/>
            <w:u w:val="single"/>
          </w:rPr>
          <w:t>guidance document</w:t>
        </w:r>
      </w:hyperlink>
      <w:r>
        <w:rPr>
          <w:szCs w:val="24"/>
        </w:rPr>
        <w:t xml:space="preserve"> (</w:t>
      </w:r>
      <w:r w:rsidRPr="00FE15EB">
        <w:rPr>
          <w:b/>
          <w:szCs w:val="24"/>
        </w:rPr>
        <w:t>June 2017</w:t>
      </w:r>
      <w:r>
        <w:rPr>
          <w:szCs w:val="24"/>
        </w:rPr>
        <w:t xml:space="preserve">) focuses on four of the key healthcare professions within the wider workforce: nurses and midwives, dentists, allied health professionals and pharmacists and aims to support these healthcare professionals (HCP) as they record and measure their public health impact. It includes a toolkit consisting of ten impact pathways covering key public health priorities (e.g. obesity, smoking etc) to help HCP record and measure the activities they are already undertaking. </w:t>
      </w:r>
    </w:p>
    <w:p w:rsidR="00FE15EB" w:rsidRPr="00FE15EB" w:rsidRDefault="00FE15EB" w:rsidP="00782A5C">
      <w:pPr>
        <w:rPr>
          <w:sz w:val="28"/>
          <w:szCs w:val="24"/>
          <w:lang w:val="en"/>
        </w:rPr>
      </w:pPr>
    </w:p>
    <w:p w:rsidR="002961EF" w:rsidRDefault="002961EF" w:rsidP="002961EF">
      <w:pPr>
        <w:rPr>
          <w:b/>
          <w:szCs w:val="24"/>
        </w:rPr>
      </w:pPr>
      <w:r>
        <w:rPr>
          <w:b/>
          <w:szCs w:val="24"/>
        </w:rPr>
        <w:t>Making Every Contact Count: Evaluation Framework</w:t>
      </w:r>
    </w:p>
    <w:p w:rsidR="002961EF" w:rsidRPr="00F83BEF" w:rsidRDefault="002961EF" w:rsidP="002961EF">
      <w:pPr>
        <w:rPr>
          <w:szCs w:val="24"/>
        </w:rPr>
      </w:pPr>
      <w:r>
        <w:rPr>
          <w:szCs w:val="24"/>
        </w:rPr>
        <w:t xml:space="preserve">This </w:t>
      </w:r>
      <w:hyperlink r:id="rId20" w:history="1">
        <w:r w:rsidRPr="00F83BEF">
          <w:rPr>
            <w:rStyle w:val="Hyperlink"/>
            <w:b/>
            <w:szCs w:val="24"/>
            <w:u w:val="single"/>
          </w:rPr>
          <w:t>evaluation framework</w:t>
        </w:r>
      </w:hyperlink>
      <w:r>
        <w:rPr>
          <w:szCs w:val="24"/>
        </w:rPr>
        <w:t xml:space="preserve"> (</w:t>
      </w:r>
      <w:r w:rsidRPr="00F83BEF">
        <w:rPr>
          <w:b/>
          <w:szCs w:val="24"/>
        </w:rPr>
        <w:t>March 2016</w:t>
      </w:r>
      <w:r>
        <w:rPr>
          <w:szCs w:val="24"/>
        </w:rPr>
        <w:t xml:space="preserve">) has been developed to support the implementation of MECC. It is intended for use by local MECC programme managers, operational leads and those who have an oversight of lifestyle services delivery within their role. </w:t>
      </w:r>
    </w:p>
    <w:p w:rsidR="002961EF" w:rsidRPr="00305431" w:rsidRDefault="002961EF" w:rsidP="00782A5C">
      <w:pPr>
        <w:rPr>
          <w:sz w:val="28"/>
          <w:szCs w:val="24"/>
          <w:lang w:val="en"/>
        </w:rPr>
      </w:pPr>
    </w:p>
    <w:p w:rsidR="00257914" w:rsidRDefault="00257914" w:rsidP="007A2E09">
      <w:pPr>
        <w:rPr>
          <w:szCs w:val="24"/>
          <w:lang w:val="en"/>
        </w:rPr>
      </w:pPr>
      <w:r w:rsidRPr="00DE07C9">
        <w:rPr>
          <w:noProof/>
          <w:szCs w:val="24"/>
          <w:lang w:eastAsia="en-GB"/>
        </w:rPr>
        <mc:AlternateContent>
          <mc:Choice Requires="wps">
            <w:drawing>
              <wp:anchor distT="0" distB="0" distL="114300" distR="114300" simplePos="0" relativeHeight="251653632" behindDoc="0" locked="0" layoutInCell="1" allowOverlap="1" wp14:anchorId="43F22BA7" wp14:editId="3C8170E6">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2BA7" id="_x0000_s1029" type="#_x0000_t202" style="position:absolute;margin-left:-60.05pt;margin-top:8pt;width:616.1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M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haUGKZx&#10;RI9iDOQdjKSI6gzWV5j0YDEtjHiMU06densP/LsnBnY9M3tx4xwMvWAtspvHyuyidMLxEaQZPkGL&#10;17BDgAQ0dk5H6VAMgug4pafzZCIVjofLVVGWSwxxjF0t5+Vyka5g1XO1dT58EKBJNGrqcPIJnR3v&#10;fYhsWPWcEi/zoGR7J5VKjts3O+XIkeGWrFd5XqxP6L+lKUMGjC+KRUI2EOvTAmkZcIuV1DXFavxi&#10;OauiGu9Nm+zApJpsZKLMSZ6oyKRNGJsxzeEq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w2nnDCUCAAAiBAAADgAAAAAAAAAAAAAAAAAuAgAAZHJzL2Uyb0Rv&#10;Yy54bWxQSwECLQAUAAYACAAAACEA3EJObN8AAAALAQAADwAAAAAAAAAAAAAAAAB/BAAAZHJzL2Rv&#10;d25yZXYueG1sUEsFBgAAAAAEAAQA8wAAAIsFA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Pr="004A4A1C" w:rsidRDefault="00BB42F6" w:rsidP="0072693A">
      <w:pPr>
        <w:rPr>
          <w:sz w:val="14"/>
          <w:lang w:val="en"/>
        </w:rPr>
      </w:pPr>
    </w:p>
    <w:p w:rsidR="00782A5C" w:rsidRPr="00782A5C" w:rsidRDefault="00782A5C" w:rsidP="0072693A">
      <w:pPr>
        <w:rPr>
          <w:sz w:val="14"/>
          <w:lang w:val="en"/>
        </w:rPr>
      </w:pPr>
    </w:p>
    <w:p w:rsidR="001D4F2D" w:rsidRDefault="001D4F2D" w:rsidP="0086241D">
      <w:pPr>
        <w:rPr>
          <w:szCs w:val="22"/>
        </w:rPr>
      </w:pPr>
      <w:r>
        <w:rPr>
          <w:szCs w:val="22"/>
        </w:rPr>
        <w:t xml:space="preserve">NICE have guidance and quality standards to help support people to take action to improve their lifestyle, which is key to MECC and can be found by browsing the </w:t>
      </w:r>
      <w:hyperlink r:id="rId21" w:history="1">
        <w:r w:rsidRPr="001D4F2D">
          <w:rPr>
            <w:rStyle w:val="Hyperlink"/>
            <w:b/>
            <w:szCs w:val="22"/>
            <w:u w:val="single"/>
          </w:rPr>
          <w:t>lifestyle and wellbeing</w:t>
        </w:r>
      </w:hyperlink>
      <w:r>
        <w:rPr>
          <w:szCs w:val="22"/>
        </w:rPr>
        <w:t xml:space="preserve"> area of the website. The </w:t>
      </w:r>
      <w:hyperlink r:id="rId22" w:history="1">
        <w:r w:rsidRPr="001D4F2D">
          <w:rPr>
            <w:rStyle w:val="Hyperlink"/>
            <w:b/>
            <w:szCs w:val="22"/>
            <w:u w:val="single"/>
          </w:rPr>
          <w:t>behaviour change</w:t>
        </w:r>
      </w:hyperlink>
      <w:r>
        <w:rPr>
          <w:szCs w:val="22"/>
        </w:rPr>
        <w:t xml:space="preserve"> topic page is particularly relevant. </w:t>
      </w:r>
    </w:p>
    <w:p w:rsidR="001D4F2D" w:rsidRDefault="001D4F2D" w:rsidP="0086241D">
      <w:pPr>
        <w:rPr>
          <w:szCs w:val="22"/>
        </w:rPr>
      </w:pPr>
    </w:p>
    <w:p w:rsidR="0086241D" w:rsidRPr="001D4F2D" w:rsidRDefault="006D5D28" w:rsidP="00782A5C">
      <w:pPr>
        <w:rPr>
          <w:b/>
          <w:szCs w:val="22"/>
          <w:u w:val="single"/>
        </w:rPr>
      </w:pPr>
      <w:hyperlink r:id="rId23" w:history="1">
        <w:r w:rsidR="0086241D" w:rsidRPr="001D4F2D">
          <w:rPr>
            <w:rStyle w:val="Hyperlink"/>
            <w:b/>
            <w:szCs w:val="22"/>
            <w:u w:val="single"/>
          </w:rPr>
          <w:t>NICE MECC Resource for STPs/ICSs</w:t>
        </w:r>
      </w:hyperlink>
      <w:r w:rsidR="001D4F2D" w:rsidRPr="001D4F2D">
        <w:rPr>
          <w:szCs w:val="22"/>
        </w:rPr>
        <w:t xml:space="preserve"> - T</w:t>
      </w:r>
      <w:r w:rsidR="003053F4">
        <w:rPr>
          <w:szCs w:val="22"/>
        </w:rPr>
        <w:t xml:space="preserve">his resource aims to support those within STPs/ICSs in navigating NICE guidance, standards, tools and shared learning on the NICE website, relating to MECC. </w:t>
      </w:r>
    </w:p>
    <w:p w:rsidR="003053F4" w:rsidRDefault="003053F4" w:rsidP="00782A5C">
      <w:pPr>
        <w:rPr>
          <w:szCs w:val="22"/>
        </w:rPr>
      </w:pPr>
    </w:p>
    <w:p w:rsidR="00017BFF" w:rsidRDefault="006D5D28" w:rsidP="00782A5C">
      <w:pPr>
        <w:rPr>
          <w:szCs w:val="22"/>
        </w:rPr>
      </w:pPr>
      <w:hyperlink r:id="rId24" w:history="1">
        <w:r w:rsidR="000950E7" w:rsidRPr="00294FA9">
          <w:rPr>
            <w:rStyle w:val="Hyperlink"/>
            <w:b/>
            <w:szCs w:val="22"/>
            <w:u w:val="single"/>
          </w:rPr>
          <w:t>NICE Behaviour Change: General Approaches</w:t>
        </w:r>
        <w:r w:rsidR="000A6815" w:rsidRPr="00294FA9">
          <w:rPr>
            <w:rStyle w:val="Hyperlink"/>
            <w:b/>
            <w:szCs w:val="22"/>
            <w:u w:val="single"/>
          </w:rPr>
          <w:t xml:space="preserve"> [PH6]</w:t>
        </w:r>
      </w:hyperlink>
      <w:r w:rsidR="000C5413">
        <w:rPr>
          <w:szCs w:val="22"/>
        </w:rPr>
        <w:t xml:space="preserve"> </w:t>
      </w:r>
      <w:r w:rsidR="00294FA9">
        <w:rPr>
          <w:szCs w:val="22"/>
        </w:rPr>
        <w:t>(</w:t>
      </w:r>
      <w:r w:rsidR="00294FA9" w:rsidRPr="00294FA9">
        <w:rPr>
          <w:b/>
          <w:szCs w:val="22"/>
        </w:rPr>
        <w:t xml:space="preserve">October 2007, last updated in November 2017) </w:t>
      </w:r>
      <w:r w:rsidR="00294FA9">
        <w:rPr>
          <w:szCs w:val="22"/>
        </w:rPr>
        <w:t xml:space="preserve">- </w:t>
      </w:r>
      <w:r w:rsidR="000C5413">
        <w:rPr>
          <w:szCs w:val="22"/>
        </w:rPr>
        <w:t>This PH guideline covers a set of principles that can be used to help people change their behaviour. It is aimed at practitioners to use these principles to encourage people to adopt a healthier lifestyle.</w:t>
      </w:r>
    </w:p>
    <w:p w:rsidR="000950E7" w:rsidRDefault="000950E7" w:rsidP="00782A5C">
      <w:pPr>
        <w:rPr>
          <w:szCs w:val="22"/>
        </w:rPr>
      </w:pPr>
    </w:p>
    <w:p w:rsidR="000C5413" w:rsidRDefault="006D5D28" w:rsidP="00017BFF">
      <w:pPr>
        <w:rPr>
          <w:szCs w:val="22"/>
        </w:rPr>
      </w:pPr>
      <w:hyperlink r:id="rId25" w:history="1">
        <w:r w:rsidR="000950E7" w:rsidRPr="00294FA9">
          <w:rPr>
            <w:rStyle w:val="Hyperlink"/>
            <w:b/>
            <w:szCs w:val="22"/>
            <w:u w:val="single"/>
          </w:rPr>
          <w:t>NICE Behaviour Change: Individual Approaches</w:t>
        </w:r>
        <w:r w:rsidR="000A6815" w:rsidRPr="00294FA9">
          <w:rPr>
            <w:rStyle w:val="Hyperlink"/>
            <w:b/>
            <w:szCs w:val="22"/>
            <w:u w:val="single"/>
          </w:rPr>
          <w:t xml:space="preserve"> [PH49]</w:t>
        </w:r>
        <w:r w:rsidR="000C5413" w:rsidRPr="00294FA9">
          <w:rPr>
            <w:rStyle w:val="Hyperlink"/>
            <w:b/>
            <w:szCs w:val="22"/>
            <w:u w:val="single"/>
          </w:rPr>
          <w:t xml:space="preserve"> </w:t>
        </w:r>
      </w:hyperlink>
      <w:r w:rsidR="00294FA9">
        <w:rPr>
          <w:szCs w:val="22"/>
        </w:rPr>
        <w:t>- (</w:t>
      </w:r>
      <w:r w:rsidR="00294FA9" w:rsidRPr="00294FA9">
        <w:rPr>
          <w:b/>
          <w:szCs w:val="22"/>
        </w:rPr>
        <w:t xml:space="preserve">January 2014, </w:t>
      </w:r>
      <w:r w:rsidR="00294FA9">
        <w:rPr>
          <w:b/>
          <w:szCs w:val="22"/>
        </w:rPr>
        <w:t xml:space="preserve">last </w:t>
      </w:r>
      <w:r w:rsidR="00294FA9" w:rsidRPr="00294FA9">
        <w:rPr>
          <w:b/>
          <w:szCs w:val="22"/>
        </w:rPr>
        <w:t>updated in March 2019</w:t>
      </w:r>
      <w:r w:rsidR="00294FA9">
        <w:rPr>
          <w:szCs w:val="22"/>
        </w:rPr>
        <w:t xml:space="preserve">) - </w:t>
      </w:r>
      <w:r w:rsidR="000C5413">
        <w:rPr>
          <w:szCs w:val="22"/>
        </w:rPr>
        <w:t xml:space="preserve">This PH guideline </w:t>
      </w:r>
      <w:r w:rsidR="00294FA9">
        <w:rPr>
          <w:szCs w:val="22"/>
        </w:rPr>
        <w:t xml:space="preserve">covers changing health-damaging behaviours using interventions such as goals and planning, feedback and monitoring and social support. Recommendations include details on ‘very brief’ and ‘brief’ interventions and training for staff. </w:t>
      </w:r>
    </w:p>
    <w:p w:rsidR="00294FA9" w:rsidRPr="00294FA9" w:rsidRDefault="00294FA9" w:rsidP="00017BFF">
      <w:pPr>
        <w:rPr>
          <w:szCs w:val="22"/>
        </w:rPr>
      </w:pPr>
    </w:p>
    <w:p w:rsidR="00506903" w:rsidRDefault="00F172B0" w:rsidP="008C1EB5">
      <w:pPr>
        <w:rPr>
          <w:b/>
          <w:szCs w:val="24"/>
          <w:lang w:eastAsia="en-GB"/>
        </w:rPr>
      </w:pPr>
      <w:r w:rsidRPr="00DE07C9">
        <w:rPr>
          <w:noProof/>
          <w:szCs w:val="24"/>
          <w:lang w:eastAsia="en-GB"/>
        </w:rPr>
        <mc:AlternateContent>
          <mc:Choice Requires="wps">
            <w:drawing>
              <wp:anchor distT="0" distB="0" distL="114300" distR="114300" simplePos="0" relativeHeight="251652608" behindDoc="0" locked="0" layoutInCell="1" allowOverlap="1" wp14:anchorId="4CD4E91E" wp14:editId="1EFFFB44">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E91E" id="_x0000_s1030" type="#_x0000_t202" style="position:absolute;margin-left:-60.05pt;margin-top:8pt;width:616.1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2"/>
    </w:p>
    <w:p w:rsidR="00294FA9" w:rsidRDefault="00294FA9" w:rsidP="0072693A">
      <w:pPr>
        <w:shd w:val="clear" w:color="auto" w:fill="FFFFFF"/>
        <w:rPr>
          <w:b/>
          <w:szCs w:val="24"/>
          <w:lang w:eastAsia="en-GB"/>
        </w:rPr>
      </w:pPr>
    </w:p>
    <w:p w:rsidR="00294FA9" w:rsidRDefault="00294FA9" w:rsidP="0072693A">
      <w:pPr>
        <w:shd w:val="clear" w:color="auto" w:fill="FFFFFF"/>
        <w:rPr>
          <w:b/>
          <w:szCs w:val="24"/>
          <w:lang w:eastAsia="en-GB"/>
        </w:rPr>
      </w:pPr>
    </w:p>
    <w:p w:rsidR="00C03D90" w:rsidRDefault="00C03D90" w:rsidP="0072693A">
      <w:pPr>
        <w:shd w:val="clear" w:color="auto" w:fill="FFFFFF"/>
        <w:rPr>
          <w:b/>
          <w:szCs w:val="24"/>
          <w:lang w:eastAsia="en-GB"/>
        </w:rPr>
      </w:pPr>
      <w:r>
        <w:rPr>
          <w:b/>
          <w:szCs w:val="24"/>
          <w:lang w:eastAsia="en-GB"/>
        </w:rPr>
        <w:t xml:space="preserve">What Matters to You </w:t>
      </w:r>
    </w:p>
    <w:p w:rsidR="00C03D90" w:rsidRDefault="006D5D28" w:rsidP="0072693A">
      <w:pPr>
        <w:shd w:val="clear" w:color="auto" w:fill="FFFFFF"/>
        <w:rPr>
          <w:szCs w:val="24"/>
          <w:lang w:eastAsia="en-GB"/>
        </w:rPr>
      </w:pPr>
      <w:hyperlink r:id="rId26" w:history="1">
        <w:r w:rsidR="00C03D90" w:rsidRPr="00C03D90">
          <w:rPr>
            <w:rStyle w:val="Hyperlink"/>
            <w:b/>
            <w:szCs w:val="24"/>
            <w:u w:val="single"/>
            <w:lang w:eastAsia="en-GB"/>
          </w:rPr>
          <w:t>‘What Matters to You’ day</w:t>
        </w:r>
      </w:hyperlink>
      <w:r w:rsidR="00C03D90">
        <w:rPr>
          <w:szCs w:val="24"/>
          <w:lang w:eastAsia="en-GB"/>
        </w:rPr>
        <w:t xml:space="preserve"> aims to encourage and support more conversations between people providing health and social care and the individuals, families and carers who receive that care. It aims to shift the focus from ‘what is wrong with you’ to ‘what matters to you.’ It’s an international campaign and </w:t>
      </w:r>
      <w:r w:rsidR="00C03D90" w:rsidRPr="00C30CB0">
        <w:rPr>
          <w:szCs w:val="24"/>
          <w:lang w:eastAsia="en-GB"/>
        </w:rPr>
        <w:t xml:space="preserve">Scotland </w:t>
      </w:r>
      <w:r w:rsidR="00C03D90">
        <w:rPr>
          <w:szCs w:val="24"/>
          <w:lang w:eastAsia="en-GB"/>
        </w:rPr>
        <w:t xml:space="preserve">have taken this up for the last two years and provide a summary report for 2018 on their </w:t>
      </w:r>
      <w:hyperlink r:id="rId27" w:history="1">
        <w:r w:rsidR="00C30CB0" w:rsidRPr="00C30CB0">
          <w:rPr>
            <w:rStyle w:val="Hyperlink"/>
            <w:b/>
            <w:szCs w:val="24"/>
            <w:u w:val="single"/>
            <w:lang w:eastAsia="en-GB"/>
          </w:rPr>
          <w:t>website</w:t>
        </w:r>
      </w:hyperlink>
      <w:r w:rsidR="00C30CB0" w:rsidRPr="00C30CB0">
        <w:rPr>
          <w:szCs w:val="24"/>
          <w:lang w:eastAsia="en-GB"/>
        </w:rPr>
        <w:t>.</w:t>
      </w:r>
    </w:p>
    <w:p w:rsidR="00C03D90" w:rsidRPr="00C03D90" w:rsidRDefault="00C03D90" w:rsidP="0072693A">
      <w:pPr>
        <w:shd w:val="clear" w:color="auto" w:fill="FFFFFF"/>
        <w:rPr>
          <w:szCs w:val="24"/>
          <w:lang w:eastAsia="en-GB"/>
        </w:rPr>
      </w:pPr>
    </w:p>
    <w:p w:rsidR="00EA28D6" w:rsidRDefault="009C5E98" w:rsidP="0072693A">
      <w:pPr>
        <w:shd w:val="clear" w:color="auto" w:fill="FFFFFF"/>
        <w:rPr>
          <w:b/>
          <w:szCs w:val="24"/>
          <w:lang w:eastAsia="en-GB"/>
        </w:rPr>
      </w:pPr>
      <w:r>
        <w:rPr>
          <w:b/>
          <w:szCs w:val="24"/>
          <w:lang w:eastAsia="en-GB"/>
        </w:rPr>
        <w:t>PHE Campaign Resource Centre</w:t>
      </w:r>
    </w:p>
    <w:p w:rsidR="000936EB" w:rsidRPr="00087F0E" w:rsidRDefault="009C5E98" w:rsidP="00A479C0">
      <w:pPr>
        <w:shd w:val="clear" w:color="auto" w:fill="FFFFFF"/>
        <w:rPr>
          <w:szCs w:val="24"/>
          <w:lang w:eastAsia="en-GB"/>
        </w:rPr>
      </w:pPr>
      <w:r>
        <w:rPr>
          <w:szCs w:val="24"/>
          <w:lang w:eastAsia="en-GB"/>
        </w:rPr>
        <w:t xml:space="preserve">You can sign up to the </w:t>
      </w:r>
      <w:hyperlink r:id="rId28" w:history="1">
        <w:r w:rsidRPr="00087F0E">
          <w:rPr>
            <w:rStyle w:val="Hyperlink"/>
            <w:b/>
            <w:szCs w:val="24"/>
            <w:u w:val="single"/>
            <w:lang w:eastAsia="en-GB"/>
          </w:rPr>
          <w:t>PHE Resource Centre</w:t>
        </w:r>
      </w:hyperlink>
      <w:r>
        <w:rPr>
          <w:szCs w:val="24"/>
          <w:lang w:eastAsia="en-GB"/>
        </w:rPr>
        <w:t xml:space="preserve"> where you can see all of PHE’s campaigns, in</w:t>
      </w:r>
      <w:r w:rsidR="00087F0E">
        <w:rPr>
          <w:szCs w:val="24"/>
          <w:lang w:eastAsia="en-GB"/>
        </w:rPr>
        <w:t>cluding campaign resource</w:t>
      </w:r>
      <w:r w:rsidR="000C26C3">
        <w:rPr>
          <w:szCs w:val="24"/>
          <w:lang w:eastAsia="en-GB"/>
        </w:rPr>
        <w:t>s</w:t>
      </w:r>
      <w:r w:rsidR="00087F0E">
        <w:rPr>
          <w:szCs w:val="24"/>
          <w:lang w:eastAsia="en-GB"/>
        </w:rPr>
        <w:t xml:space="preserve"> which you can download or order free of charge.</w:t>
      </w:r>
    </w:p>
    <w:p w:rsidR="0057097F" w:rsidRPr="00F41C02" w:rsidRDefault="0057097F" w:rsidP="00A479C0">
      <w:pPr>
        <w:shd w:val="clear" w:color="auto" w:fill="FFFFFF"/>
        <w:rPr>
          <w:b/>
          <w:szCs w:val="24"/>
          <w:highlight w:val="yellow"/>
          <w:lang w:eastAsia="en-GB"/>
        </w:rPr>
      </w:pPr>
    </w:p>
    <w:p w:rsidR="00A479C0" w:rsidRPr="00087F0E" w:rsidRDefault="00A479C0" w:rsidP="00A479C0">
      <w:pPr>
        <w:shd w:val="clear" w:color="auto" w:fill="FFFFFF"/>
        <w:rPr>
          <w:b/>
          <w:szCs w:val="24"/>
          <w:lang w:eastAsia="en-GB"/>
        </w:rPr>
      </w:pPr>
      <w:r w:rsidRPr="00087F0E">
        <w:rPr>
          <w:b/>
          <w:szCs w:val="24"/>
          <w:lang w:eastAsia="en-GB"/>
        </w:rPr>
        <w:t xml:space="preserve">PHE One You - Social Marketing </w:t>
      </w:r>
      <w:r w:rsidR="00EC1AD5" w:rsidRPr="00087F0E">
        <w:rPr>
          <w:b/>
          <w:szCs w:val="24"/>
          <w:lang w:eastAsia="en-GB"/>
        </w:rPr>
        <w:t>Programme</w:t>
      </w:r>
    </w:p>
    <w:p w:rsidR="00A479C0" w:rsidRPr="00087F0E" w:rsidRDefault="00A479C0" w:rsidP="004F7436">
      <w:pPr>
        <w:shd w:val="clear" w:color="auto" w:fill="FFFFFF"/>
        <w:rPr>
          <w:szCs w:val="24"/>
          <w:lang w:eastAsia="en-GB"/>
        </w:rPr>
      </w:pPr>
      <w:bookmarkStart w:id="3" w:name="_Hlk10202790"/>
      <w:r w:rsidRPr="00087F0E">
        <w:rPr>
          <w:szCs w:val="24"/>
          <w:lang w:eastAsia="en-GB"/>
        </w:rPr>
        <w:t xml:space="preserve">Launched in March 2016, ‘One You’ </w:t>
      </w:r>
      <w:r w:rsidR="00087F0E">
        <w:rPr>
          <w:szCs w:val="24"/>
          <w:lang w:eastAsia="en-GB"/>
        </w:rPr>
        <w:t xml:space="preserve">encourages adults to take part in an </w:t>
      </w:r>
      <w:r w:rsidR="007E085D" w:rsidRPr="00087F0E">
        <w:rPr>
          <w:szCs w:val="24"/>
          <w:lang w:eastAsia="en-GB"/>
        </w:rPr>
        <w:t>online health quiz</w:t>
      </w:r>
      <w:r w:rsidR="00087F0E">
        <w:rPr>
          <w:szCs w:val="24"/>
          <w:lang w:eastAsia="en-GB"/>
        </w:rPr>
        <w:t>, called ‘How Are You?’</w:t>
      </w:r>
      <w:r w:rsidR="001D4F2D">
        <w:rPr>
          <w:szCs w:val="24"/>
          <w:lang w:eastAsia="en-GB"/>
        </w:rPr>
        <w:t>,</w:t>
      </w:r>
      <w:r w:rsidR="007E085D" w:rsidRPr="00087F0E">
        <w:rPr>
          <w:szCs w:val="24"/>
          <w:lang w:eastAsia="en-GB"/>
        </w:rPr>
        <w:t xml:space="preserve"> which helps </w:t>
      </w:r>
      <w:r w:rsidR="00087F0E">
        <w:rPr>
          <w:szCs w:val="24"/>
          <w:lang w:eastAsia="en-GB"/>
        </w:rPr>
        <w:t>them</w:t>
      </w:r>
      <w:r w:rsidR="007E085D" w:rsidRPr="00087F0E">
        <w:rPr>
          <w:szCs w:val="24"/>
          <w:lang w:eastAsia="en-GB"/>
        </w:rPr>
        <w:t xml:space="preserve"> reassess their lifestyle choices. After completing the quiz, individuals can receive email reminders and resources to motivate them to make changes to lead a healthier lifestyle</w:t>
      </w:r>
      <w:r w:rsidRPr="00087F0E">
        <w:rPr>
          <w:szCs w:val="24"/>
          <w:lang w:eastAsia="en-GB"/>
        </w:rPr>
        <w:t xml:space="preserve">. ‘One You’ has its own </w:t>
      </w:r>
      <w:hyperlink r:id="rId29" w:history="1">
        <w:r w:rsidRPr="00087F0E">
          <w:rPr>
            <w:rStyle w:val="Hyperlink"/>
            <w:b/>
            <w:szCs w:val="24"/>
            <w:u w:val="single"/>
            <w:lang w:eastAsia="en-GB"/>
          </w:rPr>
          <w:t>website</w:t>
        </w:r>
      </w:hyperlink>
      <w:r w:rsidRPr="00087F0E">
        <w:rPr>
          <w:szCs w:val="24"/>
          <w:lang w:eastAsia="en-GB"/>
        </w:rPr>
        <w:t xml:space="preserve"> with a range of resources and free </w:t>
      </w:r>
      <w:hyperlink r:id="rId30" w:history="1">
        <w:r w:rsidRPr="00087F0E">
          <w:rPr>
            <w:rStyle w:val="Hyperlink"/>
            <w:b/>
            <w:szCs w:val="24"/>
            <w:u w:val="single"/>
            <w:lang w:eastAsia="en-GB"/>
          </w:rPr>
          <w:t>apps</w:t>
        </w:r>
      </w:hyperlink>
      <w:r w:rsidRPr="00087F0E">
        <w:rPr>
          <w:szCs w:val="24"/>
          <w:lang w:eastAsia="en-GB"/>
        </w:rPr>
        <w:t>.</w:t>
      </w:r>
      <w:r w:rsidR="007E085D" w:rsidRPr="00087F0E">
        <w:rPr>
          <w:szCs w:val="24"/>
          <w:lang w:eastAsia="en-GB"/>
        </w:rPr>
        <w:t xml:space="preserve"> In the first year of its launch, there were 1.34 million completions of the quiz.</w:t>
      </w:r>
      <w:r w:rsidRPr="00087F0E">
        <w:rPr>
          <w:szCs w:val="24"/>
          <w:lang w:eastAsia="en-GB"/>
        </w:rPr>
        <w:t xml:space="preserve"> Promotional materials can be downloaded and ordered for free from the PHE </w:t>
      </w:r>
      <w:hyperlink r:id="rId31" w:history="1">
        <w:r w:rsidRPr="00087F0E">
          <w:rPr>
            <w:rStyle w:val="Hyperlink"/>
            <w:b/>
            <w:szCs w:val="24"/>
            <w:u w:val="single"/>
            <w:lang w:eastAsia="en-GB"/>
          </w:rPr>
          <w:t>resource hub</w:t>
        </w:r>
      </w:hyperlink>
      <w:r w:rsidRPr="00087F0E">
        <w:rPr>
          <w:b/>
          <w:szCs w:val="24"/>
          <w:lang w:eastAsia="en-GB"/>
        </w:rPr>
        <w:t xml:space="preserve">. </w:t>
      </w:r>
    </w:p>
    <w:bookmarkEnd w:id="3"/>
    <w:p w:rsidR="00A479C0" w:rsidRPr="00087F0E" w:rsidRDefault="00A479C0" w:rsidP="004F7436">
      <w:pPr>
        <w:shd w:val="clear" w:color="auto" w:fill="FFFFFF"/>
        <w:spacing w:after="240"/>
        <w:rPr>
          <w:szCs w:val="24"/>
          <w:lang w:eastAsia="en-GB"/>
        </w:rPr>
      </w:pPr>
      <w:r w:rsidRPr="00087F0E">
        <w:rPr>
          <w:szCs w:val="24"/>
          <w:lang w:eastAsia="en-GB"/>
        </w:rPr>
        <w:t>Under the banner of ‘One You’, PHE has launched several campaigns covering different lifestyle choices and changes that can be made:</w:t>
      </w:r>
    </w:p>
    <w:p w:rsidR="007E085D" w:rsidRPr="00087F0E" w:rsidRDefault="00BA2ADC" w:rsidP="00305431">
      <w:pPr>
        <w:shd w:val="clear" w:color="auto" w:fill="FFFFFF"/>
        <w:spacing w:after="240"/>
        <w:ind w:left="2694"/>
        <w:rPr>
          <w:szCs w:val="24"/>
          <w:lang w:eastAsia="en-GB"/>
        </w:rPr>
      </w:pPr>
      <w:r w:rsidRPr="00087F0E">
        <w:rPr>
          <w:b/>
          <w:noProof/>
          <w:u w:val="single"/>
        </w:rPr>
        <w:drawing>
          <wp:anchor distT="0" distB="0" distL="114300" distR="114300" simplePos="0" relativeHeight="251655680" behindDoc="0" locked="0" layoutInCell="1" allowOverlap="1" wp14:anchorId="7CCD1420">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64682" cy="396000"/>
                    </a:xfrm>
                    <a:prstGeom prst="rect">
                      <a:avLst/>
                    </a:prstGeom>
                  </pic:spPr>
                </pic:pic>
              </a:graphicData>
            </a:graphic>
          </wp:anchor>
        </w:drawing>
      </w:r>
      <w:hyperlink r:id="rId33" w:history="1">
        <w:r w:rsidR="00A479C0" w:rsidRPr="00087F0E">
          <w:rPr>
            <w:rStyle w:val="Hyperlink"/>
            <w:b/>
            <w:szCs w:val="24"/>
            <w:u w:val="single"/>
            <w:lang w:eastAsia="en-GB"/>
          </w:rPr>
          <w:t>Drink free days</w:t>
        </w:r>
      </w:hyperlink>
      <w:r w:rsidR="00800514" w:rsidRPr="00087F0E">
        <w:rPr>
          <w:rStyle w:val="Hyperlink"/>
          <w:szCs w:val="24"/>
          <w:lang w:eastAsia="en-GB"/>
        </w:rPr>
        <w:t xml:space="preserve"> – </w:t>
      </w:r>
      <w:r w:rsidR="00800514" w:rsidRPr="00087F0E">
        <w:rPr>
          <w:rStyle w:val="Hyperlink"/>
          <w:color w:val="auto"/>
          <w:szCs w:val="24"/>
          <w:lang w:eastAsia="en-GB"/>
        </w:rPr>
        <w:t>PHE in association with Drinkaware, launched this campaign in September 2018 to help people</w:t>
      </w:r>
      <w:r w:rsidRPr="00087F0E">
        <w:rPr>
          <w:rStyle w:val="Hyperlink"/>
          <w:color w:val="auto"/>
          <w:szCs w:val="24"/>
          <w:lang w:eastAsia="en-GB"/>
        </w:rPr>
        <w:t xml:space="preserve">, particularly </w:t>
      </w:r>
      <w:proofErr w:type="gramStart"/>
      <w:r w:rsidRPr="00087F0E">
        <w:rPr>
          <w:rStyle w:val="Hyperlink"/>
          <w:color w:val="auto"/>
          <w:szCs w:val="24"/>
          <w:lang w:eastAsia="en-GB"/>
        </w:rPr>
        <w:t>45-64 year</w:t>
      </w:r>
      <w:proofErr w:type="gramEnd"/>
      <w:r w:rsidRPr="00087F0E">
        <w:rPr>
          <w:rStyle w:val="Hyperlink"/>
          <w:color w:val="auto"/>
          <w:szCs w:val="24"/>
          <w:lang w:eastAsia="en-GB"/>
        </w:rPr>
        <w:t xml:space="preserve"> olds,</w:t>
      </w:r>
      <w:r w:rsidR="00800514" w:rsidRPr="00087F0E">
        <w:rPr>
          <w:rStyle w:val="Hyperlink"/>
          <w:color w:val="auto"/>
          <w:szCs w:val="24"/>
          <w:lang w:eastAsia="en-GB"/>
        </w:rPr>
        <w:t xml:space="preserve"> cut down on the amount of alcohol</w:t>
      </w:r>
      <w:r w:rsidRPr="00087F0E">
        <w:rPr>
          <w:rStyle w:val="Hyperlink"/>
          <w:color w:val="auto"/>
          <w:szCs w:val="24"/>
          <w:lang w:eastAsia="en-GB"/>
        </w:rPr>
        <w:t xml:space="preserve"> they are regularly drinking and to highlight that having more drink free days can reduce risks of serious conditions like CVD and improve their health. </w:t>
      </w:r>
      <w:r w:rsidR="00800514" w:rsidRPr="00087F0E">
        <w:rPr>
          <w:rStyle w:val="Hyperlink"/>
          <w:color w:val="auto"/>
          <w:szCs w:val="24"/>
          <w:lang w:eastAsia="en-GB"/>
        </w:rPr>
        <w:t xml:space="preserve"> </w:t>
      </w:r>
    </w:p>
    <w:p w:rsidR="00305431" w:rsidRPr="00087F0E" w:rsidRDefault="00E03502" w:rsidP="00305431">
      <w:pPr>
        <w:pStyle w:val="ListParagraph"/>
        <w:shd w:val="clear" w:color="auto" w:fill="FFFFFF"/>
        <w:spacing w:line="240" w:lineRule="auto"/>
        <w:ind w:left="2694"/>
        <w:rPr>
          <w:rFonts w:ascii="Arial" w:hAnsi="Arial" w:cs="Arial"/>
          <w:sz w:val="24"/>
          <w:szCs w:val="24"/>
          <w:lang w:eastAsia="en-GB"/>
        </w:rPr>
      </w:pPr>
      <w:r w:rsidRPr="00087F0E">
        <w:rPr>
          <w:b/>
          <w:noProof/>
          <w:u w:val="single"/>
        </w:rPr>
        <w:drawing>
          <wp:anchor distT="0" distB="0" distL="114300" distR="114300" simplePos="0" relativeHeight="251656192" behindDoc="0" locked="0" layoutInCell="1" allowOverlap="1" wp14:anchorId="22016B42">
            <wp:simplePos x="0" y="0"/>
            <wp:positionH relativeFrom="column">
              <wp:posOffset>0</wp:posOffset>
            </wp:positionH>
            <wp:positionV relativeFrom="paragraph">
              <wp:posOffset>27305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35" w:history="1">
        <w:r w:rsidR="00A479C0" w:rsidRPr="00087F0E">
          <w:rPr>
            <w:rStyle w:val="Hyperlink"/>
            <w:rFonts w:ascii="Arial" w:hAnsi="Arial" w:cs="Arial"/>
            <w:b/>
            <w:sz w:val="24"/>
            <w:szCs w:val="24"/>
            <w:u w:val="single"/>
            <w:lang w:eastAsia="en-GB"/>
          </w:rPr>
          <w:t>Active 10</w:t>
        </w:r>
      </w:hyperlink>
      <w:r w:rsidR="00EC1AD5" w:rsidRPr="00087F0E">
        <w:rPr>
          <w:rStyle w:val="Hyperlink"/>
          <w:rFonts w:ascii="Arial" w:hAnsi="Arial" w:cs="Arial"/>
          <w:sz w:val="24"/>
          <w:szCs w:val="24"/>
          <w:lang w:eastAsia="en-GB"/>
        </w:rPr>
        <w:t xml:space="preserve"> – </w:t>
      </w:r>
      <w:r w:rsidR="00EC1AD5" w:rsidRPr="00087F0E">
        <w:rPr>
          <w:rStyle w:val="Hyperlink"/>
          <w:rFonts w:ascii="Arial" w:hAnsi="Arial" w:cs="Arial"/>
          <w:color w:val="auto"/>
          <w:sz w:val="24"/>
          <w:szCs w:val="24"/>
          <w:lang w:eastAsia="en-GB"/>
        </w:rPr>
        <w:t xml:space="preserve">Initially launched in March 2017 and re-launched in June 2018, this </w:t>
      </w:r>
      <w:r w:rsidRPr="00087F0E">
        <w:rPr>
          <w:rStyle w:val="Hyperlink"/>
          <w:rFonts w:ascii="Arial" w:hAnsi="Arial" w:cs="Arial"/>
          <w:color w:val="auto"/>
          <w:sz w:val="24"/>
          <w:szCs w:val="24"/>
          <w:lang w:eastAsia="en-GB"/>
        </w:rPr>
        <w:t xml:space="preserve">PHE </w:t>
      </w:r>
      <w:r w:rsidR="00EC1AD5" w:rsidRPr="00087F0E">
        <w:rPr>
          <w:rStyle w:val="Hyperlink"/>
          <w:rFonts w:ascii="Arial" w:hAnsi="Arial" w:cs="Arial"/>
          <w:color w:val="auto"/>
          <w:sz w:val="24"/>
          <w:szCs w:val="24"/>
          <w:lang w:eastAsia="en-GB"/>
        </w:rPr>
        <w:t xml:space="preserve">campaign aims to combat physical inactivity and lower the risks of serious illnesses such as heart disease, by encouraging adults to incorporate more physical activity into their </w:t>
      </w:r>
      <w:r w:rsidR="00EC1AD5" w:rsidRPr="00087F0E">
        <w:rPr>
          <w:rStyle w:val="Hyperlink"/>
          <w:rFonts w:ascii="Arial" w:hAnsi="Arial" w:cs="Arial"/>
          <w:color w:val="auto"/>
          <w:sz w:val="24"/>
          <w:szCs w:val="24"/>
          <w:lang w:eastAsia="en-GB"/>
        </w:rPr>
        <w:lastRenderedPageBreak/>
        <w:t>daily lives, by going for a brisk ten-minute walk (or more) each day</w:t>
      </w:r>
      <w:r w:rsidR="008E6CF3" w:rsidRPr="00087F0E">
        <w:rPr>
          <w:rStyle w:val="Hyperlink"/>
          <w:rFonts w:ascii="Arial" w:hAnsi="Arial" w:cs="Arial"/>
          <w:color w:val="auto"/>
          <w:sz w:val="24"/>
          <w:szCs w:val="24"/>
          <w:lang w:eastAsia="en-GB"/>
        </w:rPr>
        <w:t>.</w:t>
      </w:r>
    </w:p>
    <w:p w:rsidR="007E085D" w:rsidRPr="00087F0E" w:rsidRDefault="00C30CB0" w:rsidP="00305431">
      <w:pPr>
        <w:shd w:val="clear" w:color="auto" w:fill="FFFFFF"/>
        <w:spacing w:after="240"/>
        <w:ind w:left="2694"/>
        <w:rPr>
          <w:szCs w:val="24"/>
          <w:lang w:eastAsia="en-GB"/>
        </w:rPr>
      </w:pPr>
      <w:r w:rsidRPr="00087F0E">
        <w:rPr>
          <w:b/>
          <w:noProof/>
          <w:u w:val="single"/>
        </w:rPr>
        <w:drawing>
          <wp:anchor distT="0" distB="0" distL="114300" distR="114300" simplePos="0" relativeHeight="251660288" behindDoc="0" locked="0" layoutInCell="1" allowOverlap="1" wp14:anchorId="670DE98B">
            <wp:simplePos x="0" y="0"/>
            <wp:positionH relativeFrom="column">
              <wp:posOffset>-1270</wp:posOffset>
            </wp:positionH>
            <wp:positionV relativeFrom="paragraph">
              <wp:posOffset>8890</wp:posOffset>
            </wp:positionV>
            <wp:extent cx="1569720" cy="1390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69720" cy="1390650"/>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00A479C0" w:rsidRPr="00087F0E">
          <w:rPr>
            <w:rStyle w:val="Hyperlink"/>
            <w:b/>
            <w:szCs w:val="24"/>
            <w:u w:val="single"/>
            <w:lang w:eastAsia="en-GB"/>
          </w:rPr>
          <w:t>400-600-600</w:t>
        </w:r>
      </w:hyperlink>
      <w:r w:rsidR="00E03502" w:rsidRPr="00087F0E">
        <w:rPr>
          <w:rStyle w:val="Hyperlink"/>
          <w:szCs w:val="24"/>
          <w:lang w:eastAsia="en-GB"/>
        </w:rPr>
        <w:t xml:space="preserve"> – </w:t>
      </w:r>
      <w:r w:rsidR="003108CC" w:rsidRPr="00087F0E">
        <w:rPr>
          <w:rStyle w:val="Hyperlink"/>
          <w:color w:val="auto"/>
          <w:szCs w:val="24"/>
          <w:lang w:eastAsia="en-GB"/>
        </w:rPr>
        <w:t>Adults are consuming o</w:t>
      </w:r>
      <w:r w:rsidR="00E03502" w:rsidRPr="00087F0E">
        <w:rPr>
          <w:rStyle w:val="Hyperlink"/>
          <w:color w:val="auto"/>
          <w:szCs w:val="24"/>
          <w:lang w:eastAsia="en-GB"/>
        </w:rPr>
        <w:t>n average</w:t>
      </w:r>
      <w:r w:rsidR="003108CC" w:rsidRPr="00087F0E">
        <w:rPr>
          <w:rStyle w:val="Hyperlink"/>
          <w:color w:val="auto"/>
          <w:szCs w:val="24"/>
          <w:lang w:eastAsia="en-GB"/>
        </w:rPr>
        <w:t xml:space="preserve"> an</w:t>
      </w:r>
      <w:r w:rsidR="00E03502" w:rsidRPr="00087F0E">
        <w:rPr>
          <w:rStyle w:val="Hyperlink"/>
          <w:color w:val="auto"/>
          <w:szCs w:val="24"/>
          <w:lang w:eastAsia="en-GB"/>
        </w:rPr>
        <w:t xml:space="preserve"> extra 200-300 calories per day. This ‘calorie creep’ contributes to two thirds of a</w:t>
      </w:r>
      <w:r w:rsidR="008E6CF3" w:rsidRPr="00087F0E">
        <w:rPr>
          <w:rStyle w:val="Hyperlink"/>
          <w:color w:val="auto"/>
          <w:szCs w:val="24"/>
          <w:lang w:eastAsia="en-GB"/>
        </w:rPr>
        <w:t>dults being overweight or obese, which can in turn lead to serious CVD conditions.</w:t>
      </w:r>
      <w:r w:rsidR="00E03502" w:rsidRPr="00087F0E">
        <w:rPr>
          <w:rStyle w:val="Hyperlink"/>
          <w:color w:val="auto"/>
          <w:szCs w:val="24"/>
          <w:lang w:eastAsia="en-GB"/>
        </w:rPr>
        <w:t xml:space="preserve">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42379F" w:rsidRPr="00087F0E" w:rsidRDefault="004F7436" w:rsidP="00305431">
      <w:pPr>
        <w:shd w:val="clear" w:color="auto" w:fill="FFFFFF"/>
        <w:spacing w:after="240"/>
        <w:ind w:left="2694"/>
        <w:rPr>
          <w:szCs w:val="24"/>
          <w:lang w:eastAsia="en-GB"/>
        </w:rPr>
      </w:pPr>
      <w:r w:rsidRPr="00087F0E">
        <w:rPr>
          <w:b/>
          <w:noProof/>
          <w:u w:val="single"/>
        </w:rPr>
        <w:drawing>
          <wp:anchor distT="0" distB="0" distL="114300" distR="114300" simplePos="0" relativeHeight="251657728" behindDoc="0" locked="0" layoutInCell="1" allowOverlap="1" wp14:anchorId="1D533FEB">
            <wp:simplePos x="0" y="0"/>
            <wp:positionH relativeFrom="column">
              <wp:posOffset>-3810</wp:posOffset>
            </wp:positionH>
            <wp:positionV relativeFrom="paragraph">
              <wp:posOffset>74161</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39" w:history="1">
        <w:r w:rsidR="00A479C0" w:rsidRPr="00087F0E">
          <w:rPr>
            <w:rStyle w:val="Hyperlink"/>
            <w:b/>
            <w:szCs w:val="24"/>
            <w:u w:val="single"/>
            <w:lang w:eastAsia="en-GB"/>
          </w:rPr>
          <w:t>Stoptober</w:t>
        </w:r>
      </w:hyperlink>
      <w:r w:rsidRPr="00087F0E">
        <w:rPr>
          <w:rStyle w:val="Hyperlink"/>
          <w:szCs w:val="24"/>
          <w:lang w:eastAsia="en-GB"/>
        </w:rPr>
        <w:t xml:space="preserve"> – </w:t>
      </w:r>
      <w:r w:rsidRPr="00087F0E">
        <w:rPr>
          <w:rStyle w:val="Hyperlink"/>
          <w:color w:val="auto"/>
          <w:szCs w:val="24"/>
          <w:lang w:eastAsia="en-GB"/>
        </w:rPr>
        <w:t xml:space="preserve">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3E3EFD" w:rsidRDefault="00636A61" w:rsidP="003E3EFD">
      <w:pPr>
        <w:shd w:val="clear" w:color="auto" w:fill="FFFFFF"/>
        <w:ind w:left="2694"/>
        <w:rPr>
          <w:rStyle w:val="Hyperlink"/>
          <w:color w:val="auto"/>
          <w:szCs w:val="24"/>
          <w:lang w:eastAsia="en-GB"/>
        </w:rPr>
      </w:pPr>
      <w:r w:rsidRPr="00087F0E">
        <w:rPr>
          <w:noProof/>
        </w:rPr>
        <w:drawing>
          <wp:anchor distT="0" distB="0" distL="114300" distR="114300" simplePos="0" relativeHeight="251662848" behindDoc="0" locked="0" layoutInCell="1" allowOverlap="1" wp14:anchorId="343CB6E3">
            <wp:simplePos x="0" y="0"/>
            <wp:positionH relativeFrom="column">
              <wp:posOffset>-1905</wp:posOffset>
            </wp:positionH>
            <wp:positionV relativeFrom="paragraph">
              <wp:posOffset>460625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41" w:history="1">
        <w:r w:rsidRPr="00087F0E">
          <w:rPr>
            <w:rStyle w:val="Hyperlink"/>
            <w:b/>
            <w:szCs w:val="24"/>
            <w:u w:val="single"/>
            <w:lang w:eastAsia="en-GB"/>
          </w:rPr>
          <w:t>Heart Age Test</w:t>
        </w:r>
      </w:hyperlink>
      <w:r w:rsidR="008C1EB5" w:rsidRPr="00087F0E">
        <w:rPr>
          <w:rStyle w:val="Hyperlink"/>
          <w:szCs w:val="24"/>
          <w:lang w:eastAsia="en-GB"/>
        </w:rPr>
        <w:t xml:space="preserve"> – </w:t>
      </w:r>
      <w:r w:rsidR="00241760" w:rsidRPr="00087F0E">
        <w:rPr>
          <w:rStyle w:val="Hyperlink"/>
          <w:color w:val="auto"/>
          <w:szCs w:val="24"/>
          <w:lang w:eastAsia="en-GB"/>
        </w:rPr>
        <w:t>This tool</w:t>
      </w:r>
      <w:r w:rsidRPr="00087F0E">
        <w:rPr>
          <w:rStyle w:val="Hyperlink"/>
          <w:color w:val="auto"/>
          <w:szCs w:val="24"/>
          <w:lang w:eastAsia="en-GB"/>
        </w:rPr>
        <w:t xml:space="preserve"> is a collaboration between NHS, PHE, the Brit</w:t>
      </w:r>
      <w:r w:rsidR="00241760" w:rsidRPr="00087F0E">
        <w:rPr>
          <w:rStyle w:val="Hyperlink"/>
          <w:color w:val="auto"/>
          <w:szCs w:val="24"/>
          <w:lang w:eastAsia="en-GB"/>
        </w:rPr>
        <w:t>ish Heart Foundation and UCL. It</w:t>
      </w:r>
      <w:r w:rsidRPr="00087F0E">
        <w:rPr>
          <w:rStyle w:val="Hyperlink"/>
          <w:color w:val="auto"/>
          <w:szCs w:val="24"/>
          <w:lang w:eastAsia="en-GB"/>
        </w:rPr>
        <w:t xml:space="preserve"> was relaunched in September 2018</w:t>
      </w:r>
      <w:r w:rsidR="00241760" w:rsidRPr="00087F0E">
        <w:rPr>
          <w:rStyle w:val="Hyperlink"/>
          <w:color w:val="auto"/>
          <w:szCs w:val="24"/>
          <w:lang w:eastAsia="en-GB"/>
        </w:rPr>
        <w:t xml:space="preserve"> and is an ‘always-on’ campaign</w:t>
      </w:r>
      <w:r w:rsidRPr="00087F0E">
        <w:rPr>
          <w:rStyle w:val="Hyperlink"/>
          <w:color w:val="auto"/>
          <w:szCs w:val="24"/>
          <w:lang w:eastAsia="en-GB"/>
        </w:rPr>
        <w:t xml:space="preserve">. </w:t>
      </w:r>
      <w:r w:rsidR="00241760" w:rsidRPr="00087F0E">
        <w:rPr>
          <w:rStyle w:val="Hyperlink"/>
          <w:color w:val="auto"/>
          <w:szCs w:val="24"/>
          <w:lang w:eastAsia="en-GB"/>
        </w:rPr>
        <w:t>This simple online test</w:t>
      </w:r>
      <w:r w:rsidRPr="00087F0E">
        <w:rPr>
          <w:rStyle w:val="Hyperlink"/>
          <w:color w:val="auto"/>
          <w:szCs w:val="24"/>
          <w:lang w:eastAsia="en-GB"/>
        </w:rPr>
        <w:t xml:space="preserve"> helps individuals compare their heart age to their real age and explains the importance of knowing their blood pressure and cholesterol numbers. Th</w:t>
      </w:r>
      <w:r w:rsidR="00106BE7" w:rsidRPr="00087F0E">
        <w:rPr>
          <w:rStyle w:val="Hyperlink"/>
          <w:color w:val="auto"/>
          <w:szCs w:val="24"/>
          <w:lang w:eastAsia="en-GB"/>
        </w:rPr>
        <w:t>e test can still be completed if</w:t>
      </w:r>
      <w:r w:rsidRPr="00087F0E">
        <w:rPr>
          <w:rStyle w:val="Hyperlink"/>
          <w:color w:val="auto"/>
          <w:szCs w:val="24"/>
          <w:lang w:eastAsia="en-GB"/>
        </w:rPr>
        <w:t xml:space="preserve"> these numbers are not know</w:t>
      </w:r>
      <w:r w:rsidR="00241760" w:rsidRPr="00087F0E">
        <w:rPr>
          <w:rStyle w:val="Hyperlink"/>
          <w:color w:val="auto"/>
          <w:szCs w:val="24"/>
          <w:lang w:eastAsia="en-GB"/>
        </w:rPr>
        <w:t>n</w:t>
      </w:r>
      <w:r w:rsidRPr="00087F0E">
        <w:rPr>
          <w:rStyle w:val="Hyperlink"/>
          <w:color w:val="auto"/>
          <w:szCs w:val="24"/>
          <w:lang w:eastAsia="en-GB"/>
        </w:rPr>
        <w:t>. As part of the results, it also provides individuals with advice on how to lower their heart age and reduce their risk of heart attack and stroke.</w:t>
      </w:r>
      <w:r>
        <w:rPr>
          <w:rStyle w:val="Hyperlink"/>
          <w:color w:val="auto"/>
          <w:szCs w:val="24"/>
          <w:lang w:eastAsia="en-GB"/>
        </w:rPr>
        <w:t xml:space="preserve"> </w:t>
      </w:r>
    </w:p>
    <w:p w:rsidR="003E3EFD" w:rsidRDefault="003E3EFD" w:rsidP="003E3EFD">
      <w:pPr>
        <w:shd w:val="clear" w:color="auto" w:fill="FFFFFF"/>
        <w:ind w:left="2694"/>
        <w:rPr>
          <w:rStyle w:val="Hyperlink"/>
          <w:color w:val="auto"/>
          <w:szCs w:val="24"/>
          <w:lang w:eastAsia="en-GB"/>
        </w:rPr>
      </w:pPr>
    </w:p>
    <w:p w:rsidR="003E3EFD" w:rsidRDefault="003E3EFD" w:rsidP="008C1EB5">
      <w:pPr>
        <w:shd w:val="clear" w:color="auto" w:fill="FFFFFF"/>
        <w:rPr>
          <w:rStyle w:val="Hyperlink"/>
          <w:b/>
          <w:color w:val="auto"/>
          <w:szCs w:val="24"/>
          <w:lang w:eastAsia="en-GB"/>
        </w:rPr>
      </w:pPr>
      <w:r w:rsidRPr="003E3EFD">
        <w:rPr>
          <w:rStyle w:val="Hyperlink"/>
          <w:b/>
          <w:color w:val="auto"/>
          <w:szCs w:val="24"/>
          <w:lang w:eastAsia="en-GB"/>
        </w:rPr>
        <w:t>MECC Community of Practice</w:t>
      </w:r>
    </w:p>
    <w:p w:rsidR="003E3EFD" w:rsidRPr="003E3EFD" w:rsidRDefault="003E3EFD" w:rsidP="008C1EB5">
      <w:pPr>
        <w:shd w:val="clear" w:color="auto" w:fill="FFFFFF"/>
        <w:rPr>
          <w:rStyle w:val="Hyperlink"/>
          <w:color w:val="auto"/>
          <w:szCs w:val="24"/>
          <w:lang w:eastAsia="en-GB"/>
        </w:rPr>
      </w:pPr>
      <w:r>
        <w:rPr>
          <w:rStyle w:val="Hyperlink"/>
          <w:color w:val="auto"/>
          <w:szCs w:val="24"/>
          <w:lang w:eastAsia="en-GB"/>
        </w:rPr>
        <w:t xml:space="preserve">The purpose of the </w:t>
      </w:r>
      <w:hyperlink r:id="rId42" w:history="1">
        <w:r w:rsidRPr="003E3EFD">
          <w:rPr>
            <w:rStyle w:val="Hyperlink"/>
            <w:b/>
            <w:szCs w:val="24"/>
            <w:u w:val="single"/>
            <w:lang w:eastAsia="en-GB"/>
          </w:rPr>
          <w:t>MECC community</w:t>
        </w:r>
      </w:hyperlink>
      <w:r>
        <w:rPr>
          <w:rStyle w:val="Hyperlink"/>
          <w:color w:val="auto"/>
          <w:szCs w:val="24"/>
          <w:lang w:eastAsia="en-GB"/>
        </w:rPr>
        <w:t xml:space="preserve">, hosted on Facebook, is to offer information and support to individuals/teams who aim to implement MECC; share ideas, learning and experiences around implementation and training in MECC and to raise the profile of this approach. </w:t>
      </w:r>
    </w:p>
    <w:p w:rsidR="008C1EB5" w:rsidRDefault="00310215" w:rsidP="008C1EB5">
      <w:pPr>
        <w:shd w:val="clear" w:color="auto" w:fill="FFFFFF"/>
        <w:rPr>
          <w:rStyle w:val="Hyperlink"/>
          <w:szCs w:val="24"/>
          <w:lang w:eastAsia="en-GB"/>
        </w:rPr>
      </w:pPr>
      <w:r w:rsidRPr="00DE07C9">
        <w:rPr>
          <w:noProof/>
          <w:szCs w:val="24"/>
          <w:lang w:eastAsia="en-GB"/>
        </w:rPr>
        <mc:AlternateContent>
          <mc:Choice Requires="wps">
            <w:drawing>
              <wp:anchor distT="0" distB="0" distL="114300" distR="114300" simplePos="0" relativeHeight="251659776" behindDoc="0" locked="0" layoutInCell="1" allowOverlap="1" wp14:anchorId="07CE3569" wp14:editId="0CE3B678">
                <wp:simplePos x="0" y="0"/>
                <wp:positionH relativeFrom="column">
                  <wp:posOffset>-647700</wp:posOffset>
                </wp:positionH>
                <wp:positionV relativeFrom="paragraph">
                  <wp:posOffset>117475</wp:posOffset>
                </wp:positionV>
                <wp:extent cx="7824470" cy="371475"/>
                <wp:effectExtent l="0" t="0"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3569" id="_x0000_s1031" type="#_x0000_t202" style="position:absolute;margin-left:-51pt;margin-top:9.25pt;width:616.1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" fillcolor="#980029" stroked="f">
                <v:textbo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v:textbox>
              </v:shape>
            </w:pict>
          </mc:Fallback>
        </mc:AlternateContent>
      </w:r>
    </w:p>
    <w:p w:rsidR="00310215" w:rsidRDefault="00310215" w:rsidP="008C1EB5">
      <w:pPr>
        <w:shd w:val="clear" w:color="auto" w:fill="FFFFFF"/>
        <w:rPr>
          <w:rStyle w:val="Hyperlink"/>
          <w:szCs w:val="24"/>
          <w:lang w:eastAsia="en-GB"/>
        </w:rPr>
      </w:pPr>
    </w:p>
    <w:p w:rsidR="00310215" w:rsidRDefault="00310215" w:rsidP="008C1EB5">
      <w:pPr>
        <w:shd w:val="clear" w:color="auto" w:fill="FFFFFF"/>
        <w:rPr>
          <w:rStyle w:val="Hyperlink"/>
          <w:szCs w:val="24"/>
          <w:lang w:eastAsia="en-GB"/>
        </w:rPr>
      </w:pPr>
    </w:p>
    <w:p w:rsidR="00310215" w:rsidRPr="007F433B" w:rsidRDefault="00310215" w:rsidP="008C1EB5">
      <w:pPr>
        <w:shd w:val="clear" w:color="auto" w:fill="FFFFFF"/>
        <w:rPr>
          <w:sz w:val="8"/>
          <w:lang w:val="en"/>
        </w:rPr>
      </w:pPr>
    </w:p>
    <w:p w:rsidR="000A6815" w:rsidRDefault="000A6815" w:rsidP="008C1EB5">
      <w:pPr>
        <w:shd w:val="clear" w:color="auto" w:fill="FFFFFF"/>
        <w:rPr>
          <w:b/>
          <w:lang w:val="en"/>
        </w:rPr>
      </w:pPr>
      <w:r>
        <w:rPr>
          <w:b/>
          <w:lang w:val="en"/>
        </w:rPr>
        <w:t>All Our Health: e-Learning for Healthcare</w:t>
      </w:r>
    </w:p>
    <w:p w:rsidR="00A13FB2" w:rsidRDefault="000A6815" w:rsidP="008C1EB5">
      <w:pPr>
        <w:shd w:val="clear" w:color="auto" w:fill="FFFFFF"/>
        <w:rPr>
          <w:lang w:val="en"/>
        </w:rPr>
      </w:pPr>
      <w:r>
        <w:rPr>
          <w:lang w:val="en"/>
        </w:rPr>
        <w:t xml:space="preserve">PHE and Health Education England have developed and launched new </w:t>
      </w:r>
      <w:hyperlink r:id="rId43" w:history="1">
        <w:r w:rsidRPr="00A13FB2">
          <w:rPr>
            <w:rStyle w:val="Hyperlink"/>
            <w:b/>
            <w:u w:val="single"/>
            <w:lang w:val="en"/>
          </w:rPr>
          <w:t>bite-sized e-learning sessions</w:t>
        </w:r>
      </w:hyperlink>
      <w:r>
        <w:rPr>
          <w:lang w:val="en"/>
        </w:rPr>
        <w:t xml:space="preserve"> to improve the knowledge, confidence and skills of healthcare professionals in preventing illness, protecting health and promoting wellbeing. They cover top public health priorities and contain signposting to trusted sources of evidence, guidance and support to help healthcare professionals embed prevention in their everyday practice. </w:t>
      </w:r>
    </w:p>
    <w:p w:rsidR="00A13FB2" w:rsidRPr="00A13FB2" w:rsidRDefault="00A13FB2" w:rsidP="008C1EB5">
      <w:pPr>
        <w:shd w:val="clear" w:color="auto" w:fill="FFFFFF"/>
        <w:rPr>
          <w:lang w:val="en"/>
        </w:rPr>
      </w:pPr>
    </w:p>
    <w:p w:rsidR="00310215" w:rsidRDefault="00E7523D" w:rsidP="008C1EB5">
      <w:pPr>
        <w:shd w:val="clear" w:color="auto" w:fill="FFFFFF"/>
        <w:rPr>
          <w:b/>
          <w:lang w:val="en"/>
        </w:rPr>
      </w:pPr>
      <w:r>
        <w:rPr>
          <w:b/>
          <w:lang w:val="en"/>
        </w:rPr>
        <w:t>MECC</w:t>
      </w:r>
      <w:r w:rsidR="000A6815">
        <w:rPr>
          <w:b/>
          <w:lang w:val="en"/>
        </w:rPr>
        <w:t>:</w:t>
      </w:r>
      <w:r>
        <w:rPr>
          <w:b/>
          <w:lang w:val="en"/>
        </w:rPr>
        <w:t xml:space="preserve"> e-Learning for Healthcare</w:t>
      </w:r>
    </w:p>
    <w:p w:rsidR="00E7523D" w:rsidRPr="00E7523D" w:rsidRDefault="006923A4" w:rsidP="008C1EB5">
      <w:pPr>
        <w:shd w:val="clear" w:color="auto" w:fill="FFFFFF"/>
        <w:rPr>
          <w:lang w:val="en"/>
        </w:rPr>
      </w:pPr>
      <w:r>
        <w:rPr>
          <w:lang w:val="en"/>
        </w:rPr>
        <w:t xml:space="preserve">This programme is in partnership with Health Education England, Department of Health and Lancashire Care NHS Foundation Trust. The </w:t>
      </w:r>
      <w:hyperlink r:id="rId44" w:history="1">
        <w:r w:rsidRPr="006923A4">
          <w:rPr>
            <w:rStyle w:val="Hyperlink"/>
            <w:b/>
            <w:u w:val="single"/>
            <w:lang w:val="en"/>
          </w:rPr>
          <w:t>e-learning</w:t>
        </w:r>
      </w:hyperlink>
      <w:r>
        <w:rPr>
          <w:lang w:val="en"/>
        </w:rPr>
        <w:t xml:space="preserve"> is designed to support learners in developing an understanding of public health and the factors that impact on a person’s health and wellbeing, emphasising how asking questions and listening effectively to people is a vital role for us all. </w:t>
      </w:r>
    </w:p>
    <w:p w:rsidR="00B40C3E" w:rsidRDefault="00B40C3E" w:rsidP="00B40C3E">
      <w:pPr>
        <w:shd w:val="clear" w:color="auto" w:fill="FFFFFF"/>
        <w:rPr>
          <w:rStyle w:val="Hyperlink"/>
          <w:szCs w:val="24"/>
          <w:lang w:eastAsia="en-GB"/>
        </w:rPr>
      </w:pPr>
    </w:p>
    <w:p w:rsidR="00C30CB0" w:rsidRDefault="00C30CB0" w:rsidP="00B40C3E">
      <w:pPr>
        <w:shd w:val="clear" w:color="auto" w:fill="FFFFFF"/>
        <w:rPr>
          <w:rStyle w:val="Hyperlink"/>
          <w:szCs w:val="24"/>
          <w:lang w:eastAsia="en-GB"/>
        </w:rPr>
      </w:pPr>
    </w:p>
    <w:p w:rsidR="00C30CB0" w:rsidRDefault="00C30CB0" w:rsidP="00B40C3E">
      <w:pPr>
        <w:shd w:val="clear" w:color="auto" w:fill="FFFFFF"/>
        <w:rPr>
          <w:rStyle w:val="Hyperlink"/>
          <w:szCs w:val="24"/>
          <w:lang w:eastAsia="en-GB"/>
        </w:rPr>
      </w:pPr>
    </w:p>
    <w:p w:rsidR="00C30CB0" w:rsidRDefault="00C30CB0" w:rsidP="00845B9D">
      <w:pPr>
        <w:shd w:val="clear" w:color="auto" w:fill="FFFFFF"/>
        <w:ind w:firstLine="720"/>
        <w:rPr>
          <w:rStyle w:val="Hyperlink"/>
          <w:szCs w:val="24"/>
          <w:lang w:eastAsia="en-GB"/>
        </w:rPr>
      </w:pPr>
    </w:p>
    <w:p w:rsidR="00B40C3E" w:rsidRDefault="00B40C3E" w:rsidP="00B40C3E">
      <w:pPr>
        <w:spacing w:before="240"/>
        <w:rPr>
          <w:b/>
          <w:szCs w:val="24"/>
          <w:lang w:eastAsia="en-GB"/>
        </w:rPr>
      </w:pPr>
      <w:r w:rsidRPr="00DE07C9">
        <w:rPr>
          <w:noProof/>
          <w:szCs w:val="24"/>
          <w:lang w:eastAsia="en-GB"/>
        </w:rPr>
        <w:lastRenderedPageBreak/>
        <mc:AlternateContent>
          <mc:Choice Requires="wps">
            <w:drawing>
              <wp:anchor distT="0" distB="0" distL="114300" distR="114300" simplePos="0" relativeHeight="251663872" behindDoc="0" locked="0" layoutInCell="1" allowOverlap="1" wp14:anchorId="4A794DD7" wp14:editId="2AAC13CA">
                <wp:simplePos x="0" y="0"/>
                <wp:positionH relativeFrom="column">
                  <wp:posOffset>-762635</wp:posOffset>
                </wp:positionH>
                <wp:positionV relativeFrom="paragraph">
                  <wp:posOffset>101600</wp:posOffset>
                </wp:positionV>
                <wp:extent cx="7824470" cy="371475"/>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B40C3E" w:rsidRPr="00DE07C9" w:rsidRDefault="00B40C3E" w:rsidP="00B40C3E">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94DD7" id="_x0000_s1032" type="#_x0000_t202" style="position:absolute;margin-left:-60.05pt;margin-top:8pt;width:616.1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5V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55LOVSUCAAAiBAAADgAAAAAAAAAAAAAAAAAuAgAAZHJzL2Uyb0Rv&#10;Yy54bWxQSwECLQAUAAYACAAAACEA3EJObN8AAAALAQAADwAAAAAAAAAAAAAAAAB/BAAAZHJzL2Rv&#10;d25yZXYueG1sUEsFBgAAAAAEAAQA8wAAAIsFAAAAAA==&#10;" fillcolor="#980029" stroked="f">
                <v:textbox>
                  <w:txbxContent>
                    <w:p w:rsidR="00B40C3E" w:rsidRPr="00DE07C9" w:rsidRDefault="00B40C3E" w:rsidP="00B40C3E">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v:textbox>
              </v:shape>
            </w:pict>
          </mc:Fallback>
        </mc:AlternateContent>
      </w:r>
    </w:p>
    <w:p w:rsidR="00C30CB0" w:rsidRDefault="00C30CB0" w:rsidP="00B40C3E">
      <w:pPr>
        <w:shd w:val="clear" w:color="auto" w:fill="FFFFFF"/>
        <w:rPr>
          <w:b/>
          <w:szCs w:val="24"/>
          <w:lang w:eastAsia="en-GB"/>
        </w:rPr>
      </w:pPr>
    </w:p>
    <w:p w:rsidR="00B40C3E" w:rsidRPr="00B40C3E" w:rsidRDefault="00B40C3E" w:rsidP="00B40C3E">
      <w:pPr>
        <w:shd w:val="clear" w:color="auto" w:fill="FFFFFF"/>
        <w:rPr>
          <w:szCs w:val="24"/>
          <w:lang w:eastAsia="en-GB"/>
        </w:rPr>
      </w:pPr>
      <w:r>
        <w:rPr>
          <w:b/>
          <w:szCs w:val="24"/>
          <w:lang w:eastAsia="en-GB"/>
        </w:rPr>
        <w:br/>
      </w:r>
      <w:r>
        <w:rPr>
          <w:szCs w:val="24"/>
          <w:lang w:eastAsia="en-GB"/>
        </w:rPr>
        <w:t>There are several briefing documents in this series which may be useful and will be updated on a regular basis. These include:</w:t>
      </w:r>
    </w:p>
    <w:p w:rsidR="00B40C3E" w:rsidRPr="00C30CB0" w:rsidRDefault="006D5D28" w:rsidP="00B40C3E">
      <w:pPr>
        <w:numPr>
          <w:ilvl w:val="0"/>
          <w:numId w:val="15"/>
        </w:numPr>
        <w:rPr>
          <w:szCs w:val="24"/>
        </w:rPr>
      </w:pPr>
      <w:hyperlink r:id="rId45" w:history="1">
        <w:r w:rsidR="00C30CB0" w:rsidRPr="00C30CB0">
          <w:rPr>
            <w:rStyle w:val="Hyperlink"/>
            <w:szCs w:val="24"/>
          </w:rPr>
          <w:t>Cardiovascular Disease</w:t>
        </w:r>
      </w:hyperlink>
    </w:p>
    <w:p w:rsidR="00B40C3E" w:rsidRPr="00C30CB0" w:rsidRDefault="006D5D28" w:rsidP="00B40C3E">
      <w:pPr>
        <w:pStyle w:val="ListParagraph"/>
        <w:numPr>
          <w:ilvl w:val="0"/>
          <w:numId w:val="15"/>
        </w:numPr>
        <w:shd w:val="clear" w:color="auto" w:fill="FFFFFF"/>
        <w:rPr>
          <w:rFonts w:ascii="Arial" w:hAnsi="Arial" w:cs="Arial"/>
          <w:sz w:val="24"/>
          <w:szCs w:val="24"/>
          <w:lang w:eastAsia="en-GB"/>
        </w:rPr>
      </w:pPr>
      <w:hyperlink r:id="rId46" w:history="1">
        <w:r w:rsidR="00B40C3E" w:rsidRPr="00C30CB0">
          <w:rPr>
            <w:rStyle w:val="Hyperlink"/>
            <w:rFonts w:ascii="Arial" w:hAnsi="Arial" w:cs="Arial"/>
            <w:sz w:val="24"/>
            <w:szCs w:val="24"/>
            <w:lang w:eastAsia="en-GB"/>
          </w:rPr>
          <w:t>Dementia and Healthy Ageing</w:t>
        </w:r>
      </w:hyperlink>
    </w:p>
    <w:p w:rsidR="00B40C3E" w:rsidRPr="00C30CB0" w:rsidRDefault="006D5D28" w:rsidP="00B40C3E">
      <w:pPr>
        <w:pStyle w:val="ListParagraph"/>
        <w:numPr>
          <w:ilvl w:val="0"/>
          <w:numId w:val="15"/>
        </w:numPr>
        <w:shd w:val="clear" w:color="auto" w:fill="FFFFFF"/>
        <w:rPr>
          <w:rFonts w:ascii="Arial" w:hAnsi="Arial" w:cs="Arial"/>
          <w:sz w:val="24"/>
          <w:szCs w:val="24"/>
          <w:lang w:eastAsia="en-GB"/>
        </w:rPr>
      </w:pPr>
      <w:hyperlink r:id="rId47" w:history="1">
        <w:r w:rsidR="00B40C3E" w:rsidRPr="00C30CB0">
          <w:rPr>
            <w:rStyle w:val="Hyperlink"/>
            <w:rFonts w:ascii="Arial" w:hAnsi="Arial" w:cs="Arial"/>
            <w:sz w:val="24"/>
            <w:szCs w:val="24"/>
            <w:lang w:eastAsia="en-GB"/>
          </w:rPr>
          <w:t>Obesity Prevention</w:t>
        </w:r>
      </w:hyperlink>
    </w:p>
    <w:p w:rsidR="00B40C3E" w:rsidRPr="00C30CB0" w:rsidRDefault="006D5D28" w:rsidP="00B40C3E">
      <w:pPr>
        <w:pStyle w:val="ListParagraph"/>
        <w:numPr>
          <w:ilvl w:val="0"/>
          <w:numId w:val="15"/>
        </w:numPr>
        <w:shd w:val="clear" w:color="auto" w:fill="FFFFFF"/>
        <w:rPr>
          <w:rStyle w:val="Hyperlink"/>
          <w:rFonts w:ascii="Arial" w:hAnsi="Arial" w:cs="Arial"/>
          <w:color w:val="auto"/>
          <w:sz w:val="24"/>
          <w:szCs w:val="24"/>
          <w:lang w:eastAsia="en-GB"/>
        </w:rPr>
      </w:pPr>
      <w:hyperlink r:id="rId48" w:history="1">
        <w:r w:rsidR="00B40C3E" w:rsidRPr="00C30CB0">
          <w:rPr>
            <w:rStyle w:val="Hyperlink"/>
            <w:rFonts w:ascii="Arial" w:hAnsi="Arial" w:cs="Arial"/>
            <w:sz w:val="24"/>
            <w:szCs w:val="24"/>
            <w:lang w:eastAsia="en-GB"/>
          </w:rPr>
          <w:t>Physical Activity</w:t>
        </w:r>
      </w:hyperlink>
    </w:p>
    <w:p w:rsidR="00C30CB0" w:rsidRPr="00C30CB0" w:rsidRDefault="006D5D28" w:rsidP="00B40C3E">
      <w:pPr>
        <w:pStyle w:val="ListParagraph"/>
        <w:numPr>
          <w:ilvl w:val="0"/>
          <w:numId w:val="15"/>
        </w:numPr>
        <w:shd w:val="clear" w:color="auto" w:fill="FFFFFF"/>
        <w:rPr>
          <w:rFonts w:ascii="Arial" w:hAnsi="Arial" w:cs="Arial"/>
          <w:sz w:val="24"/>
          <w:szCs w:val="24"/>
          <w:lang w:eastAsia="en-GB"/>
        </w:rPr>
      </w:pPr>
      <w:hyperlink r:id="rId49" w:history="1">
        <w:r w:rsidR="00C30CB0" w:rsidRPr="00C30CB0">
          <w:rPr>
            <w:rStyle w:val="Hyperlink"/>
            <w:rFonts w:ascii="Arial" w:hAnsi="Arial" w:cs="Arial"/>
            <w:sz w:val="24"/>
            <w:szCs w:val="24"/>
            <w:lang w:eastAsia="en-GB"/>
          </w:rPr>
          <w:t>Sexual Health</w:t>
        </w:r>
      </w:hyperlink>
    </w:p>
    <w:p w:rsidR="00B40C3E" w:rsidRPr="009444BF" w:rsidRDefault="00B40C3E" w:rsidP="00B40C3E">
      <w:pPr>
        <w:shd w:val="clear" w:color="auto" w:fill="FFFFFF"/>
        <w:rPr>
          <w:szCs w:val="24"/>
          <w:lang w:eastAsia="en-GB"/>
        </w:rPr>
      </w:pPr>
      <w:r>
        <w:rPr>
          <w:szCs w:val="24"/>
          <w:lang w:eastAsia="en-GB"/>
        </w:rPr>
        <w:t xml:space="preserve">You can click on the links above to download each document or visit the </w:t>
      </w:r>
      <w:hyperlink r:id="rId50" w:history="1">
        <w:r w:rsidRPr="003108CC">
          <w:rPr>
            <w:rStyle w:val="Hyperlink"/>
            <w:szCs w:val="24"/>
            <w:lang w:eastAsia="en-GB"/>
          </w:rPr>
          <w:t>PHE East of England Group</w:t>
        </w:r>
      </w:hyperlink>
      <w:r>
        <w:rPr>
          <w:szCs w:val="24"/>
          <w:lang w:eastAsia="en-GB"/>
        </w:rPr>
        <w:t xml:space="preserve"> on the KHub to view all the documents in the series and other useful resources. </w:t>
      </w:r>
    </w:p>
    <w:sectPr w:rsidR="00B40C3E" w:rsidRPr="009444BF" w:rsidSect="004A4A1C">
      <w:headerReference w:type="even" r:id="rId51"/>
      <w:headerReference w:type="default" r:id="rId52"/>
      <w:footerReference w:type="even" r:id="rId53"/>
      <w:footerReference w:type="default" r:id="rId54"/>
      <w:headerReference w:type="first" r:id="rId55"/>
      <w:footerReference w:type="first" r:id="rId56"/>
      <w:endnotePr>
        <w:numFmt w:val="decimal"/>
      </w:endnotePr>
      <w:pgSz w:w="11906" w:h="16838" w:code="9"/>
      <w:pgMar w:top="1560" w:right="1021" w:bottom="709" w:left="1021" w:header="680" w:footer="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9D" w:rsidRDefault="0084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B324A1" w:rsidP="00B324A1">
    <w:pPr>
      <w:pStyle w:val="Footer"/>
      <w:tabs>
        <w:tab w:val="clear" w:pos="9026"/>
        <w:tab w:val="right" w:pos="9923"/>
      </w:tabs>
      <w:ind w:right="-59"/>
      <w:jc w:val="left"/>
    </w:pPr>
    <w:r>
      <w:t>V</w:t>
    </w:r>
    <w:r w:rsidR="00845B9D">
      <w:t>1.00 10/06</w:t>
    </w:r>
    <w:r w:rsidR="00F0692D">
      <w:t>/19</w:t>
    </w:r>
    <w:r w:rsidR="00F0692D">
      <w:tab/>
    </w:r>
    <w:r w:rsidR="00F0692D">
      <w:tab/>
    </w:r>
    <w:r w:rsidR="0094095A" w:rsidRPr="00F0692D">
      <w:t xml:space="preserve">Fennie Gibbs – H&amp;WB </w:t>
    </w:r>
    <w:r w:rsidRPr="00F0692D">
      <w:t>Su</w:t>
    </w:r>
    <w:r w:rsidR="0094095A" w:rsidRPr="00F0692D">
      <w:t xml:space="preserve">pport Officer - PHE </w:t>
    </w:r>
    <w:r w:rsidRPr="00F0692D">
      <w:t>EoE</w:t>
    </w:r>
  </w:p>
  <w:p w:rsidR="0094095A" w:rsidRDefault="006D5D28" w:rsidP="00B324A1">
    <w:pPr>
      <w:pStyle w:val="Footer"/>
      <w:tabs>
        <w:tab w:val="clear" w:pos="9026"/>
        <w:tab w:val="right" w:pos="9214"/>
      </w:tabs>
    </w:pPr>
    <w:sdt>
      <w:sdtPr>
        <w:id w:val="1339660371"/>
        <w:docPartObj>
          <w:docPartGallery w:val="Page Numbers (Bottom of Page)"/>
          <w:docPartUnique/>
        </w:docPartObj>
      </w:sdtPr>
      <w:sdtEndPr/>
      <w:sdtContent>
        <w:sdt>
          <w:sdtPr>
            <w:id w:val="145950412"/>
            <w:docPartObj>
              <w:docPartGallery w:val="Page Numbers (Top of Page)"/>
              <w:docPartUnique/>
            </w:docPartObj>
          </w:sdtPr>
          <w:sdtEndPr/>
          <w:sdtContent>
            <w:r w:rsidR="00F0692D">
              <w:t xml:space="preserve"> </w:t>
            </w:r>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2C6CBC">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2C6CBC">
              <w:rPr>
                <w:b/>
                <w:bCs/>
                <w:noProof/>
              </w:rPr>
              <w:t>4</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568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C694C"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182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B4181"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9D" w:rsidRDefault="0084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9D" w:rsidRDefault="00845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752"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E34B2"/>
    <w:multiLevelType w:val="hybridMultilevel"/>
    <w:tmpl w:val="AB7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5534E"/>
    <w:multiLevelType w:val="hybridMultilevel"/>
    <w:tmpl w:val="519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14681"/>
    <w:multiLevelType w:val="hybridMultilevel"/>
    <w:tmpl w:val="0574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95C22"/>
    <w:multiLevelType w:val="multilevel"/>
    <w:tmpl w:val="A7A2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F2F2E"/>
    <w:multiLevelType w:val="hybridMultilevel"/>
    <w:tmpl w:val="5B6E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6"/>
  </w:num>
  <w:num w:numId="2">
    <w:abstractNumId w:val="4"/>
  </w:num>
  <w:num w:numId="3">
    <w:abstractNumId w:val="5"/>
  </w:num>
  <w:num w:numId="4">
    <w:abstractNumId w:val="13"/>
  </w:num>
  <w:num w:numId="5">
    <w:abstractNumId w:val="3"/>
  </w:num>
  <w:num w:numId="6">
    <w:abstractNumId w:val="3"/>
  </w:num>
  <w:num w:numId="7">
    <w:abstractNumId w:val="12"/>
  </w:num>
  <w:num w:numId="8">
    <w:abstractNumId w:val="10"/>
  </w:num>
  <w:num w:numId="9">
    <w:abstractNumId w:val="0"/>
  </w:num>
  <w:num w:numId="10">
    <w:abstractNumId w:val="15"/>
  </w:num>
  <w:num w:numId="11">
    <w:abstractNumId w:val="11"/>
  </w:num>
  <w:num w:numId="12">
    <w:abstractNumId w:val="1"/>
  </w:num>
  <w:num w:numId="13">
    <w:abstractNumId w:val="6"/>
  </w:num>
  <w:num w:numId="14">
    <w:abstractNumId w:val="7"/>
  </w:num>
  <w:num w:numId="15">
    <w:abstractNumId w:val="14"/>
  </w:num>
  <w:num w:numId="16">
    <w:abstractNumId w:val="2"/>
  </w:num>
  <w:num w:numId="17">
    <w:abstractNumId w:val="8"/>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7041">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17BFF"/>
    <w:rsid w:val="00020F67"/>
    <w:rsid w:val="000215BA"/>
    <w:rsid w:val="00025902"/>
    <w:rsid w:val="00030348"/>
    <w:rsid w:val="000369C3"/>
    <w:rsid w:val="00041A37"/>
    <w:rsid w:val="000458A0"/>
    <w:rsid w:val="00047B29"/>
    <w:rsid w:val="00051785"/>
    <w:rsid w:val="000540FE"/>
    <w:rsid w:val="00064056"/>
    <w:rsid w:val="00064EEA"/>
    <w:rsid w:val="00066B3E"/>
    <w:rsid w:val="00073BF0"/>
    <w:rsid w:val="00074251"/>
    <w:rsid w:val="00075CAB"/>
    <w:rsid w:val="000836BA"/>
    <w:rsid w:val="0008434F"/>
    <w:rsid w:val="00087CCA"/>
    <w:rsid w:val="00087F0E"/>
    <w:rsid w:val="000908A6"/>
    <w:rsid w:val="00093463"/>
    <w:rsid w:val="000936EB"/>
    <w:rsid w:val="000950E7"/>
    <w:rsid w:val="000A06DA"/>
    <w:rsid w:val="000A20D7"/>
    <w:rsid w:val="000A25B2"/>
    <w:rsid w:val="000A3329"/>
    <w:rsid w:val="000A3725"/>
    <w:rsid w:val="000A50FB"/>
    <w:rsid w:val="000A5AD5"/>
    <w:rsid w:val="000A6815"/>
    <w:rsid w:val="000A79F0"/>
    <w:rsid w:val="000A7C4C"/>
    <w:rsid w:val="000B2133"/>
    <w:rsid w:val="000B57B2"/>
    <w:rsid w:val="000C26C3"/>
    <w:rsid w:val="000C3538"/>
    <w:rsid w:val="000C51E6"/>
    <w:rsid w:val="000C5413"/>
    <w:rsid w:val="000C59EF"/>
    <w:rsid w:val="000C5DD9"/>
    <w:rsid w:val="000D0947"/>
    <w:rsid w:val="000D1590"/>
    <w:rsid w:val="000D1BDA"/>
    <w:rsid w:val="000D5E1C"/>
    <w:rsid w:val="000D6206"/>
    <w:rsid w:val="000E541C"/>
    <w:rsid w:val="00102823"/>
    <w:rsid w:val="00106BE7"/>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4F2D"/>
    <w:rsid w:val="001D6091"/>
    <w:rsid w:val="001D68E9"/>
    <w:rsid w:val="001D740D"/>
    <w:rsid w:val="001E12C1"/>
    <w:rsid w:val="001E1A13"/>
    <w:rsid w:val="001E1AFA"/>
    <w:rsid w:val="001E7A57"/>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1760"/>
    <w:rsid w:val="00243041"/>
    <w:rsid w:val="0024755A"/>
    <w:rsid w:val="002479E0"/>
    <w:rsid w:val="00247CDA"/>
    <w:rsid w:val="00257914"/>
    <w:rsid w:val="00262FD3"/>
    <w:rsid w:val="002660F5"/>
    <w:rsid w:val="002676E9"/>
    <w:rsid w:val="00271066"/>
    <w:rsid w:val="00271754"/>
    <w:rsid w:val="00274351"/>
    <w:rsid w:val="002754B9"/>
    <w:rsid w:val="002765BA"/>
    <w:rsid w:val="00276B01"/>
    <w:rsid w:val="00283237"/>
    <w:rsid w:val="00283E15"/>
    <w:rsid w:val="00284003"/>
    <w:rsid w:val="002866A8"/>
    <w:rsid w:val="00286EEA"/>
    <w:rsid w:val="002924DE"/>
    <w:rsid w:val="00292BFE"/>
    <w:rsid w:val="00294FA9"/>
    <w:rsid w:val="002961EF"/>
    <w:rsid w:val="002A1331"/>
    <w:rsid w:val="002A2775"/>
    <w:rsid w:val="002A7444"/>
    <w:rsid w:val="002C4CB1"/>
    <w:rsid w:val="002C52AF"/>
    <w:rsid w:val="002C5992"/>
    <w:rsid w:val="002C6CBC"/>
    <w:rsid w:val="002D2A44"/>
    <w:rsid w:val="002D2D1B"/>
    <w:rsid w:val="002D5AFD"/>
    <w:rsid w:val="002E23E4"/>
    <w:rsid w:val="002E73B0"/>
    <w:rsid w:val="002F0439"/>
    <w:rsid w:val="002F1870"/>
    <w:rsid w:val="002F1F11"/>
    <w:rsid w:val="002F2752"/>
    <w:rsid w:val="002F3A34"/>
    <w:rsid w:val="002F67DA"/>
    <w:rsid w:val="003010D5"/>
    <w:rsid w:val="00301A56"/>
    <w:rsid w:val="003053F4"/>
    <w:rsid w:val="00305431"/>
    <w:rsid w:val="003062A9"/>
    <w:rsid w:val="003074E1"/>
    <w:rsid w:val="00310215"/>
    <w:rsid w:val="003108CC"/>
    <w:rsid w:val="00311989"/>
    <w:rsid w:val="00311BF6"/>
    <w:rsid w:val="003128C5"/>
    <w:rsid w:val="00313D75"/>
    <w:rsid w:val="00320336"/>
    <w:rsid w:val="00323B57"/>
    <w:rsid w:val="0032491E"/>
    <w:rsid w:val="00325006"/>
    <w:rsid w:val="00327D7E"/>
    <w:rsid w:val="003311DD"/>
    <w:rsid w:val="00331580"/>
    <w:rsid w:val="00331CB2"/>
    <w:rsid w:val="00334B87"/>
    <w:rsid w:val="003351E6"/>
    <w:rsid w:val="00336C7B"/>
    <w:rsid w:val="003373C2"/>
    <w:rsid w:val="003377A3"/>
    <w:rsid w:val="00342F99"/>
    <w:rsid w:val="00343DCB"/>
    <w:rsid w:val="00353939"/>
    <w:rsid w:val="00361074"/>
    <w:rsid w:val="00362364"/>
    <w:rsid w:val="0037145E"/>
    <w:rsid w:val="00373D63"/>
    <w:rsid w:val="00382712"/>
    <w:rsid w:val="00384CE5"/>
    <w:rsid w:val="0038690F"/>
    <w:rsid w:val="003872FF"/>
    <w:rsid w:val="00390C85"/>
    <w:rsid w:val="003916BE"/>
    <w:rsid w:val="003925BA"/>
    <w:rsid w:val="00392C71"/>
    <w:rsid w:val="00396093"/>
    <w:rsid w:val="003A413B"/>
    <w:rsid w:val="003A5DA6"/>
    <w:rsid w:val="003A6C43"/>
    <w:rsid w:val="003B09F4"/>
    <w:rsid w:val="003B1ABB"/>
    <w:rsid w:val="003B3028"/>
    <w:rsid w:val="003B364D"/>
    <w:rsid w:val="003C2E37"/>
    <w:rsid w:val="003C31BF"/>
    <w:rsid w:val="003C4F66"/>
    <w:rsid w:val="003C5F5C"/>
    <w:rsid w:val="003C6134"/>
    <w:rsid w:val="003D4A25"/>
    <w:rsid w:val="003D5908"/>
    <w:rsid w:val="003E3EFD"/>
    <w:rsid w:val="003E49C3"/>
    <w:rsid w:val="003E721E"/>
    <w:rsid w:val="003E775C"/>
    <w:rsid w:val="003F1C59"/>
    <w:rsid w:val="003F1C8D"/>
    <w:rsid w:val="003F5203"/>
    <w:rsid w:val="003F56D1"/>
    <w:rsid w:val="003F7D50"/>
    <w:rsid w:val="0040250A"/>
    <w:rsid w:val="00403487"/>
    <w:rsid w:val="00411392"/>
    <w:rsid w:val="004127D9"/>
    <w:rsid w:val="00414336"/>
    <w:rsid w:val="00416E9E"/>
    <w:rsid w:val="00420D0C"/>
    <w:rsid w:val="00421192"/>
    <w:rsid w:val="00421A3A"/>
    <w:rsid w:val="0042379F"/>
    <w:rsid w:val="00423AE2"/>
    <w:rsid w:val="004302A1"/>
    <w:rsid w:val="004342C7"/>
    <w:rsid w:val="004378A4"/>
    <w:rsid w:val="00441F61"/>
    <w:rsid w:val="004439C5"/>
    <w:rsid w:val="00445B89"/>
    <w:rsid w:val="004462D7"/>
    <w:rsid w:val="00450C73"/>
    <w:rsid w:val="00451730"/>
    <w:rsid w:val="004524BF"/>
    <w:rsid w:val="004542D8"/>
    <w:rsid w:val="00455810"/>
    <w:rsid w:val="0045595C"/>
    <w:rsid w:val="00456A63"/>
    <w:rsid w:val="0046338F"/>
    <w:rsid w:val="004637A4"/>
    <w:rsid w:val="0046555E"/>
    <w:rsid w:val="00467279"/>
    <w:rsid w:val="004702B1"/>
    <w:rsid w:val="00470700"/>
    <w:rsid w:val="00475941"/>
    <w:rsid w:val="00475F12"/>
    <w:rsid w:val="004764F3"/>
    <w:rsid w:val="00484FFE"/>
    <w:rsid w:val="004940DD"/>
    <w:rsid w:val="0049476C"/>
    <w:rsid w:val="00496201"/>
    <w:rsid w:val="00497E97"/>
    <w:rsid w:val="004A3AC2"/>
    <w:rsid w:val="004A4A1C"/>
    <w:rsid w:val="004A5B28"/>
    <w:rsid w:val="004C24E3"/>
    <w:rsid w:val="004C5322"/>
    <w:rsid w:val="004C56F7"/>
    <w:rsid w:val="004D319C"/>
    <w:rsid w:val="004D3655"/>
    <w:rsid w:val="004D40EE"/>
    <w:rsid w:val="004D4E03"/>
    <w:rsid w:val="004D77C9"/>
    <w:rsid w:val="004E255D"/>
    <w:rsid w:val="004E51F6"/>
    <w:rsid w:val="004F2E44"/>
    <w:rsid w:val="004F692D"/>
    <w:rsid w:val="004F6D96"/>
    <w:rsid w:val="004F7436"/>
    <w:rsid w:val="005016E4"/>
    <w:rsid w:val="00502BE9"/>
    <w:rsid w:val="00502F76"/>
    <w:rsid w:val="00506903"/>
    <w:rsid w:val="0050776C"/>
    <w:rsid w:val="005151E9"/>
    <w:rsid w:val="00526923"/>
    <w:rsid w:val="00526D0F"/>
    <w:rsid w:val="005307C9"/>
    <w:rsid w:val="00531433"/>
    <w:rsid w:val="00531BA0"/>
    <w:rsid w:val="00532E49"/>
    <w:rsid w:val="00533358"/>
    <w:rsid w:val="00534342"/>
    <w:rsid w:val="005345BF"/>
    <w:rsid w:val="005348B6"/>
    <w:rsid w:val="00541D44"/>
    <w:rsid w:val="00544A92"/>
    <w:rsid w:val="00547B95"/>
    <w:rsid w:val="00547BBF"/>
    <w:rsid w:val="0055138A"/>
    <w:rsid w:val="00554EFB"/>
    <w:rsid w:val="00555E62"/>
    <w:rsid w:val="005568B0"/>
    <w:rsid w:val="005602F4"/>
    <w:rsid w:val="0057097F"/>
    <w:rsid w:val="0057166E"/>
    <w:rsid w:val="005716E3"/>
    <w:rsid w:val="00573004"/>
    <w:rsid w:val="00574D59"/>
    <w:rsid w:val="005771B1"/>
    <w:rsid w:val="005813D4"/>
    <w:rsid w:val="00583055"/>
    <w:rsid w:val="00583898"/>
    <w:rsid w:val="00584046"/>
    <w:rsid w:val="00584AB4"/>
    <w:rsid w:val="005862E7"/>
    <w:rsid w:val="00586A58"/>
    <w:rsid w:val="00586B18"/>
    <w:rsid w:val="00586EDB"/>
    <w:rsid w:val="0058709F"/>
    <w:rsid w:val="005878D5"/>
    <w:rsid w:val="00590D43"/>
    <w:rsid w:val="00591949"/>
    <w:rsid w:val="005938F8"/>
    <w:rsid w:val="00593C11"/>
    <w:rsid w:val="005947EC"/>
    <w:rsid w:val="005A0E3E"/>
    <w:rsid w:val="005A10A3"/>
    <w:rsid w:val="005A5A53"/>
    <w:rsid w:val="005B3484"/>
    <w:rsid w:val="005B3B4A"/>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32AB"/>
    <w:rsid w:val="0063614E"/>
    <w:rsid w:val="006361F5"/>
    <w:rsid w:val="0063644B"/>
    <w:rsid w:val="00636A61"/>
    <w:rsid w:val="00637596"/>
    <w:rsid w:val="00642882"/>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23A4"/>
    <w:rsid w:val="0069310C"/>
    <w:rsid w:val="006931DB"/>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D28"/>
    <w:rsid w:val="006D5EB7"/>
    <w:rsid w:val="006E4150"/>
    <w:rsid w:val="006E63EA"/>
    <w:rsid w:val="006E7015"/>
    <w:rsid w:val="006E788D"/>
    <w:rsid w:val="006F07C7"/>
    <w:rsid w:val="006F0883"/>
    <w:rsid w:val="006F1C6A"/>
    <w:rsid w:val="006F3CB9"/>
    <w:rsid w:val="006F47FA"/>
    <w:rsid w:val="006F5254"/>
    <w:rsid w:val="00700584"/>
    <w:rsid w:val="00700729"/>
    <w:rsid w:val="00702A56"/>
    <w:rsid w:val="007105DE"/>
    <w:rsid w:val="007236B0"/>
    <w:rsid w:val="0072693A"/>
    <w:rsid w:val="00726C73"/>
    <w:rsid w:val="00730250"/>
    <w:rsid w:val="007354E6"/>
    <w:rsid w:val="00735830"/>
    <w:rsid w:val="00737E84"/>
    <w:rsid w:val="007400B6"/>
    <w:rsid w:val="00743E91"/>
    <w:rsid w:val="00744105"/>
    <w:rsid w:val="0075415A"/>
    <w:rsid w:val="00755688"/>
    <w:rsid w:val="0076342D"/>
    <w:rsid w:val="00764EE8"/>
    <w:rsid w:val="0078020D"/>
    <w:rsid w:val="00782A5C"/>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085D"/>
    <w:rsid w:val="007E3FBF"/>
    <w:rsid w:val="007E4EDD"/>
    <w:rsid w:val="007E59F2"/>
    <w:rsid w:val="007F086D"/>
    <w:rsid w:val="007F186B"/>
    <w:rsid w:val="007F26D2"/>
    <w:rsid w:val="007F433B"/>
    <w:rsid w:val="007F5A61"/>
    <w:rsid w:val="00800168"/>
    <w:rsid w:val="00800514"/>
    <w:rsid w:val="00813F58"/>
    <w:rsid w:val="00816AE5"/>
    <w:rsid w:val="008216A5"/>
    <w:rsid w:val="0082258F"/>
    <w:rsid w:val="008230D8"/>
    <w:rsid w:val="00823B97"/>
    <w:rsid w:val="00823EBB"/>
    <w:rsid w:val="008244E7"/>
    <w:rsid w:val="00830C45"/>
    <w:rsid w:val="00831036"/>
    <w:rsid w:val="00833943"/>
    <w:rsid w:val="00840328"/>
    <w:rsid w:val="00845B9D"/>
    <w:rsid w:val="00846C43"/>
    <w:rsid w:val="00850B30"/>
    <w:rsid w:val="008547C5"/>
    <w:rsid w:val="00854903"/>
    <w:rsid w:val="00854DEA"/>
    <w:rsid w:val="008565C2"/>
    <w:rsid w:val="008600C2"/>
    <w:rsid w:val="0086241D"/>
    <w:rsid w:val="0087477C"/>
    <w:rsid w:val="0088044E"/>
    <w:rsid w:val="00880FCA"/>
    <w:rsid w:val="00882BDC"/>
    <w:rsid w:val="0088503C"/>
    <w:rsid w:val="00886739"/>
    <w:rsid w:val="00886B44"/>
    <w:rsid w:val="00892759"/>
    <w:rsid w:val="008973B6"/>
    <w:rsid w:val="008A384B"/>
    <w:rsid w:val="008A4580"/>
    <w:rsid w:val="008A54CB"/>
    <w:rsid w:val="008A6A18"/>
    <w:rsid w:val="008B0283"/>
    <w:rsid w:val="008B1064"/>
    <w:rsid w:val="008B4AFF"/>
    <w:rsid w:val="008B6CCC"/>
    <w:rsid w:val="008B794E"/>
    <w:rsid w:val="008C0AA2"/>
    <w:rsid w:val="008C1EB5"/>
    <w:rsid w:val="008C3A05"/>
    <w:rsid w:val="008C47C1"/>
    <w:rsid w:val="008D1038"/>
    <w:rsid w:val="008D115E"/>
    <w:rsid w:val="008D196F"/>
    <w:rsid w:val="008D6BB6"/>
    <w:rsid w:val="008D704D"/>
    <w:rsid w:val="008E18E8"/>
    <w:rsid w:val="008E6CF3"/>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210FE"/>
    <w:rsid w:val="0093050E"/>
    <w:rsid w:val="00931C31"/>
    <w:rsid w:val="00932FFB"/>
    <w:rsid w:val="009358A9"/>
    <w:rsid w:val="0093642B"/>
    <w:rsid w:val="00937E6A"/>
    <w:rsid w:val="0094095A"/>
    <w:rsid w:val="009422CF"/>
    <w:rsid w:val="00943711"/>
    <w:rsid w:val="0094446C"/>
    <w:rsid w:val="009444BF"/>
    <w:rsid w:val="009463AD"/>
    <w:rsid w:val="0094677D"/>
    <w:rsid w:val="00946E72"/>
    <w:rsid w:val="0095059C"/>
    <w:rsid w:val="009518C3"/>
    <w:rsid w:val="0095497C"/>
    <w:rsid w:val="00955A86"/>
    <w:rsid w:val="00957A9C"/>
    <w:rsid w:val="00963FED"/>
    <w:rsid w:val="00964759"/>
    <w:rsid w:val="00965FF2"/>
    <w:rsid w:val="00967C44"/>
    <w:rsid w:val="00970A6C"/>
    <w:rsid w:val="009725EA"/>
    <w:rsid w:val="00975446"/>
    <w:rsid w:val="00975547"/>
    <w:rsid w:val="00977AD3"/>
    <w:rsid w:val="00980489"/>
    <w:rsid w:val="009827A3"/>
    <w:rsid w:val="009831CD"/>
    <w:rsid w:val="00993BC9"/>
    <w:rsid w:val="0099769C"/>
    <w:rsid w:val="009A20B6"/>
    <w:rsid w:val="009B1081"/>
    <w:rsid w:val="009B11EE"/>
    <w:rsid w:val="009B195A"/>
    <w:rsid w:val="009B3EFB"/>
    <w:rsid w:val="009B5486"/>
    <w:rsid w:val="009B5E80"/>
    <w:rsid w:val="009B63B2"/>
    <w:rsid w:val="009C3024"/>
    <w:rsid w:val="009C5E98"/>
    <w:rsid w:val="009D56B4"/>
    <w:rsid w:val="009D5DE2"/>
    <w:rsid w:val="009D6355"/>
    <w:rsid w:val="009D6C78"/>
    <w:rsid w:val="009D6CD8"/>
    <w:rsid w:val="009E057E"/>
    <w:rsid w:val="009E112E"/>
    <w:rsid w:val="009E13E3"/>
    <w:rsid w:val="009E1EE0"/>
    <w:rsid w:val="009E1EFD"/>
    <w:rsid w:val="009E21DD"/>
    <w:rsid w:val="009E35F2"/>
    <w:rsid w:val="009E3727"/>
    <w:rsid w:val="009E7DD8"/>
    <w:rsid w:val="009F2096"/>
    <w:rsid w:val="009F348C"/>
    <w:rsid w:val="009F74F1"/>
    <w:rsid w:val="009F79F7"/>
    <w:rsid w:val="009F7E13"/>
    <w:rsid w:val="00A0082B"/>
    <w:rsid w:val="00A0176F"/>
    <w:rsid w:val="00A033A0"/>
    <w:rsid w:val="00A03EB0"/>
    <w:rsid w:val="00A04EAB"/>
    <w:rsid w:val="00A065BA"/>
    <w:rsid w:val="00A10F83"/>
    <w:rsid w:val="00A13EF6"/>
    <w:rsid w:val="00A13FB2"/>
    <w:rsid w:val="00A14EBB"/>
    <w:rsid w:val="00A1706F"/>
    <w:rsid w:val="00A23776"/>
    <w:rsid w:val="00A23CEB"/>
    <w:rsid w:val="00A25008"/>
    <w:rsid w:val="00A31049"/>
    <w:rsid w:val="00A339F3"/>
    <w:rsid w:val="00A33D2E"/>
    <w:rsid w:val="00A35385"/>
    <w:rsid w:val="00A37626"/>
    <w:rsid w:val="00A376DB"/>
    <w:rsid w:val="00A37863"/>
    <w:rsid w:val="00A43A35"/>
    <w:rsid w:val="00A45FF6"/>
    <w:rsid w:val="00A475D3"/>
    <w:rsid w:val="00A479C0"/>
    <w:rsid w:val="00A504D6"/>
    <w:rsid w:val="00A51235"/>
    <w:rsid w:val="00A51A13"/>
    <w:rsid w:val="00A51EBB"/>
    <w:rsid w:val="00A531EA"/>
    <w:rsid w:val="00A55529"/>
    <w:rsid w:val="00A57429"/>
    <w:rsid w:val="00A61A4A"/>
    <w:rsid w:val="00A636ED"/>
    <w:rsid w:val="00A667BA"/>
    <w:rsid w:val="00A72AD9"/>
    <w:rsid w:val="00A73A57"/>
    <w:rsid w:val="00A7410A"/>
    <w:rsid w:val="00A74B0B"/>
    <w:rsid w:val="00A75769"/>
    <w:rsid w:val="00A7696B"/>
    <w:rsid w:val="00A857D7"/>
    <w:rsid w:val="00A92A7D"/>
    <w:rsid w:val="00AA3342"/>
    <w:rsid w:val="00AA4D1D"/>
    <w:rsid w:val="00AA53EE"/>
    <w:rsid w:val="00AC1866"/>
    <w:rsid w:val="00AC67F8"/>
    <w:rsid w:val="00AC73F9"/>
    <w:rsid w:val="00AD18DC"/>
    <w:rsid w:val="00AD4F59"/>
    <w:rsid w:val="00AE00B8"/>
    <w:rsid w:val="00AE1434"/>
    <w:rsid w:val="00AE7928"/>
    <w:rsid w:val="00AE7D33"/>
    <w:rsid w:val="00AF241F"/>
    <w:rsid w:val="00AF2F9C"/>
    <w:rsid w:val="00B03696"/>
    <w:rsid w:val="00B03C6D"/>
    <w:rsid w:val="00B11CA4"/>
    <w:rsid w:val="00B1434B"/>
    <w:rsid w:val="00B20092"/>
    <w:rsid w:val="00B22A8D"/>
    <w:rsid w:val="00B23841"/>
    <w:rsid w:val="00B249C9"/>
    <w:rsid w:val="00B24C9D"/>
    <w:rsid w:val="00B320EB"/>
    <w:rsid w:val="00B324A1"/>
    <w:rsid w:val="00B36D91"/>
    <w:rsid w:val="00B3750D"/>
    <w:rsid w:val="00B40C3E"/>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2ADC"/>
    <w:rsid w:val="00BA441E"/>
    <w:rsid w:val="00BB1201"/>
    <w:rsid w:val="00BB13C0"/>
    <w:rsid w:val="00BB1567"/>
    <w:rsid w:val="00BB21E2"/>
    <w:rsid w:val="00BB42F6"/>
    <w:rsid w:val="00BB5FCF"/>
    <w:rsid w:val="00BB742E"/>
    <w:rsid w:val="00BB7549"/>
    <w:rsid w:val="00BC1D03"/>
    <w:rsid w:val="00BD07AF"/>
    <w:rsid w:val="00BD1B37"/>
    <w:rsid w:val="00BD1FD4"/>
    <w:rsid w:val="00BD787F"/>
    <w:rsid w:val="00BE1CAA"/>
    <w:rsid w:val="00BE37D8"/>
    <w:rsid w:val="00BF3596"/>
    <w:rsid w:val="00BF67DA"/>
    <w:rsid w:val="00BF67EB"/>
    <w:rsid w:val="00BF7D68"/>
    <w:rsid w:val="00C02EB0"/>
    <w:rsid w:val="00C039AE"/>
    <w:rsid w:val="00C03D90"/>
    <w:rsid w:val="00C044A2"/>
    <w:rsid w:val="00C11D6F"/>
    <w:rsid w:val="00C23746"/>
    <w:rsid w:val="00C23F9D"/>
    <w:rsid w:val="00C24CCB"/>
    <w:rsid w:val="00C27E36"/>
    <w:rsid w:val="00C3037F"/>
    <w:rsid w:val="00C30CB0"/>
    <w:rsid w:val="00C31867"/>
    <w:rsid w:val="00C31C39"/>
    <w:rsid w:val="00C33446"/>
    <w:rsid w:val="00C34B1F"/>
    <w:rsid w:val="00C35737"/>
    <w:rsid w:val="00C362F3"/>
    <w:rsid w:val="00C36CDB"/>
    <w:rsid w:val="00C37780"/>
    <w:rsid w:val="00C37DBB"/>
    <w:rsid w:val="00C447BC"/>
    <w:rsid w:val="00C46DA9"/>
    <w:rsid w:val="00C4717B"/>
    <w:rsid w:val="00C474E2"/>
    <w:rsid w:val="00C47650"/>
    <w:rsid w:val="00C477FA"/>
    <w:rsid w:val="00C622B6"/>
    <w:rsid w:val="00C629C5"/>
    <w:rsid w:val="00C751DF"/>
    <w:rsid w:val="00C75D76"/>
    <w:rsid w:val="00C7756F"/>
    <w:rsid w:val="00C82C22"/>
    <w:rsid w:val="00C859AB"/>
    <w:rsid w:val="00C907B8"/>
    <w:rsid w:val="00C9101D"/>
    <w:rsid w:val="00C939EC"/>
    <w:rsid w:val="00C9597D"/>
    <w:rsid w:val="00CA009B"/>
    <w:rsid w:val="00CA1ECC"/>
    <w:rsid w:val="00CA2ABB"/>
    <w:rsid w:val="00CA3065"/>
    <w:rsid w:val="00CA448B"/>
    <w:rsid w:val="00CA6510"/>
    <w:rsid w:val="00CB163F"/>
    <w:rsid w:val="00CC19D9"/>
    <w:rsid w:val="00CC5216"/>
    <w:rsid w:val="00CC6E0B"/>
    <w:rsid w:val="00CC74F5"/>
    <w:rsid w:val="00CC799B"/>
    <w:rsid w:val="00CC7B68"/>
    <w:rsid w:val="00CD2210"/>
    <w:rsid w:val="00CD268B"/>
    <w:rsid w:val="00CD5054"/>
    <w:rsid w:val="00CE163E"/>
    <w:rsid w:val="00CE188E"/>
    <w:rsid w:val="00CF0C94"/>
    <w:rsid w:val="00CF1563"/>
    <w:rsid w:val="00CF5762"/>
    <w:rsid w:val="00CF5847"/>
    <w:rsid w:val="00CF7DA3"/>
    <w:rsid w:val="00D01594"/>
    <w:rsid w:val="00D04101"/>
    <w:rsid w:val="00D109A4"/>
    <w:rsid w:val="00D13534"/>
    <w:rsid w:val="00D13BA9"/>
    <w:rsid w:val="00D20433"/>
    <w:rsid w:val="00D207B9"/>
    <w:rsid w:val="00D209BF"/>
    <w:rsid w:val="00D23464"/>
    <w:rsid w:val="00D24181"/>
    <w:rsid w:val="00D25433"/>
    <w:rsid w:val="00D31705"/>
    <w:rsid w:val="00D35E59"/>
    <w:rsid w:val="00D360B7"/>
    <w:rsid w:val="00D436DD"/>
    <w:rsid w:val="00D51AF2"/>
    <w:rsid w:val="00D5230B"/>
    <w:rsid w:val="00D538AD"/>
    <w:rsid w:val="00D53F2F"/>
    <w:rsid w:val="00D54F75"/>
    <w:rsid w:val="00D57137"/>
    <w:rsid w:val="00D57A50"/>
    <w:rsid w:val="00D57D54"/>
    <w:rsid w:val="00D67F56"/>
    <w:rsid w:val="00D702F2"/>
    <w:rsid w:val="00D71421"/>
    <w:rsid w:val="00D74DA2"/>
    <w:rsid w:val="00D7524D"/>
    <w:rsid w:val="00D77485"/>
    <w:rsid w:val="00D80C06"/>
    <w:rsid w:val="00D81E61"/>
    <w:rsid w:val="00D864B3"/>
    <w:rsid w:val="00D879CB"/>
    <w:rsid w:val="00D9051A"/>
    <w:rsid w:val="00D906CA"/>
    <w:rsid w:val="00D92952"/>
    <w:rsid w:val="00D97287"/>
    <w:rsid w:val="00D97A50"/>
    <w:rsid w:val="00DA3192"/>
    <w:rsid w:val="00DA3501"/>
    <w:rsid w:val="00DA5851"/>
    <w:rsid w:val="00DA6C6D"/>
    <w:rsid w:val="00DB0225"/>
    <w:rsid w:val="00DB3489"/>
    <w:rsid w:val="00DB4344"/>
    <w:rsid w:val="00DB5D10"/>
    <w:rsid w:val="00DC0980"/>
    <w:rsid w:val="00DC1E1B"/>
    <w:rsid w:val="00DC53DB"/>
    <w:rsid w:val="00DC57A3"/>
    <w:rsid w:val="00DC6A67"/>
    <w:rsid w:val="00DD22EB"/>
    <w:rsid w:val="00DD3C6F"/>
    <w:rsid w:val="00DE037F"/>
    <w:rsid w:val="00DE07C9"/>
    <w:rsid w:val="00DE09C0"/>
    <w:rsid w:val="00DE1911"/>
    <w:rsid w:val="00DE1EB1"/>
    <w:rsid w:val="00DE293E"/>
    <w:rsid w:val="00DF1AEA"/>
    <w:rsid w:val="00DF5937"/>
    <w:rsid w:val="00DF6D77"/>
    <w:rsid w:val="00DF7E58"/>
    <w:rsid w:val="00E00A50"/>
    <w:rsid w:val="00E00DB9"/>
    <w:rsid w:val="00E024CA"/>
    <w:rsid w:val="00E03502"/>
    <w:rsid w:val="00E05AC9"/>
    <w:rsid w:val="00E14C64"/>
    <w:rsid w:val="00E178E5"/>
    <w:rsid w:val="00E216EA"/>
    <w:rsid w:val="00E32715"/>
    <w:rsid w:val="00E343B4"/>
    <w:rsid w:val="00E41FEF"/>
    <w:rsid w:val="00E420AD"/>
    <w:rsid w:val="00E44C14"/>
    <w:rsid w:val="00E46DF9"/>
    <w:rsid w:val="00E50DC3"/>
    <w:rsid w:val="00E51183"/>
    <w:rsid w:val="00E5182F"/>
    <w:rsid w:val="00E53EA6"/>
    <w:rsid w:val="00E545BB"/>
    <w:rsid w:val="00E54606"/>
    <w:rsid w:val="00E546D2"/>
    <w:rsid w:val="00E558CC"/>
    <w:rsid w:val="00E601CC"/>
    <w:rsid w:val="00E62CE6"/>
    <w:rsid w:val="00E70D6E"/>
    <w:rsid w:val="00E722F5"/>
    <w:rsid w:val="00E7523D"/>
    <w:rsid w:val="00E771D7"/>
    <w:rsid w:val="00E8540A"/>
    <w:rsid w:val="00E92675"/>
    <w:rsid w:val="00E959A0"/>
    <w:rsid w:val="00E959E6"/>
    <w:rsid w:val="00EA1428"/>
    <w:rsid w:val="00EA1ECF"/>
    <w:rsid w:val="00EA28D6"/>
    <w:rsid w:val="00EB1D6B"/>
    <w:rsid w:val="00EB205A"/>
    <w:rsid w:val="00EC1AD5"/>
    <w:rsid w:val="00EC287D"/>
    <w:rsid w:val="00EC2BCC"/>
    <w:rsid w:val="00EC3E00"/>
    <w:rsid w:val="00EC4878"/>
    <w:rsid w:val="00EC52F0"/>
    <w:rsid w:val="00EC6754"/>
    <w:rsid w:val="00ED1C1A"/>
    <w:rsid w:val="00ED4E0A"/>
    <w:rsid w:val="00ED5589"/>
    <w:rsid w:val="00ED56FA"/>
    <w:rsid w:val="00ED5C65"/>
    <w:rsid w:val="00EE03BF"/>
    <w:rsid w:val="00EE159D"/>
    <w:rsid w:val="00EE3EC9"/>
    <w:rsid w:val="00EE443A"/>
    <w:rsid w:val="00EF1287"/>
    <w:rsid w:val="00F009BD"/>
    <w:rsid w:val="00F013E7"/>
    <w:rsid w:val="00F03832"/>
    <w:rsid w:val="00F05F50"/>
    <w:rsid w:val="00F0692D"/>
    <w:rsid w:val="00F07494"/>
    <w:rsid w:val="00F127FD"/>
    <w:rsid w:val="00F13D88"/>
    <w:rsid w:val="00F13FC8"/>
    <w:rsid w:val="00F170AB"/>
    <w:rsid w:val="00F172B0"/>
    <w:rsid w:val="00F2417D"/>
    <w:rsid w:val="00F25608"/>
    <w:rsid w:val="00F26C03"/>
    <w:rsid w:val="00F301AD"/>
    <w:rsid w:val="00F33B3C"/>
    <w:rsid w:val="00F33E40"/>
    <w:rsid w:val="00F36B9C"/>
    <w:rsid w:val="00F3766D"/>
    <w:rsid w:val="00F40753"/>
    <w:rsid w:val="00F41C02"/>
    <w:rsid w:val="00F41E9F"/>
    <w:rsid w:val="00F43161"/>
    <w:rsid w:val="00F437BD"/>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3BEF"/>
    <w:rsid w:val="00F8479B"/>
    <w:rsid w:val="00F8617F"/>
    <w:rsid w:val="00F87182"/>
    <w:rsid w:val="00F946DA"/>
    <w:rsid w:val="00F95228"/>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15EB"/>
    <w:rsid w:val="00FE19C5"/>
    <w:rsid w:val="00FE5ADA"/>
    <w:rsid w:val="00FE6C4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colormru v:ext="edit" colors="#999,#ccc"/>
    </o:shapedefaults>
    <o:shapelayout v:ext="edit">
      <o:idmap v:ext="edit" data="1"/>
    </o:shapelayout>
  </w:shapeDefaults>
  <w:decimalSymbol w:val="."/>
  <w:listSeparator w:val=","/>
  <w14:docId w14:val="068F0C41"/>
  <w15:docId w15:val="{830947CD-2111-4658-B0B0-9602735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70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618928">
      <w:bodyDiv w:val="1"/>
      <w:marLeft w:val="0"/>
      <w:marRight w:val="0"/>
      <w:marTop w:val="0"/>
      <w:marBottom w:val="0"/>
      <w:divBdr>
        <w:top w:val="none" w:sz="0" w:space="0" w:color="auto"/>
        <w:left w:val="none" w:sz="0" w:space="0" w:color="auto"/>
        <w:bottom w:val="none" w:sz="0" w:space="0" w:color="auto"/>
        <w:right w:val="none" w:sz="0" w:space="0" w:color="auto"/>
      </w:divBdr>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6744">
      <w:bodyDiv w:val="1"/>
      <w:marLeft w:val="0"/>
      <w:marRight w:val="0"/>
      <w:marTop w:val="0"/>
      <w:marBottom w:val="0"/>
      <w:divBdr>
        <w:top w:val="none" w:sz="0" w:space="0" w:color="auto"/>
        <w:left w:val="none" w:sz="0" w:space="0" w:color="auto"/>
        <w:bottom w:val="none" w:sz="0" w:space="0" w:color="auto"/>
        <w:right w:val="none" w:sz="0" w:space="0" w:color="auto"/>
      </w:divBdr>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all-our-health-personalised-care-and-population-health" TargetMode="External"/><Relationship Id="rId18" Type="http://schemas.openxmlformats.org/officeDocument/2006/relationships/hyperlink" Target="https://assets.publishing.service.gov.uk/government/uploads/system/uploads/attachment_data/file/769489/MECC_Training_quality_marker_checklist_updates.pdf" TargetMode="External"/><Relationship Id="rId26" Type="http://schemas.openxmlformats.org/officeDocument/2006/relationships/hyperlink" Target="https://www.england.nhs.uk/what-matters-to-you/" TargetMode="External"/><Relationship Id="rId39" Type="http://schemas.openxmlformats.org/officeDocument/2006/relationships/hyperlink" Target="https://www.nhs.uk/oneyou/for-your-body/quit-smoking/" TargetMode="External"/><Relationship Id="rId21" Type="http://schemas.openxmlformats.org/officeDocument/2006/relationships/hyperlink" Target="https://www.nice.org.uk/guidance/lifestyle-and-wellbeing" TargetMode="External"/><Relationship Id="rId34" Type="http://schemas.openxmlformats.org/officeDocument/2006/relationships/image" Target="media/image3.png"/><Relationship Id="rId42" Type="http://schemas.openxmlformats.org/officeDocument/2006/relationships/hyperlink" Target="https://www.facebook.com/groups/MECCcommunity/" TargetMode="External"/><Relationship Id="rId47" Type="http://schemas.openxmlformats.org/officeDocument/2006/relationships/hyperlink" Target="https://khub.net/documents/28020229/29427771/181023ObesityBriefing.docx/0519da08-4dd1-6327-a352-dfb31ebba7de" TargetMode="External"/><Relationship Id="rId50" Type="http://schemas.openxmlformats.org/officeDocument/2006/relationships/hyperlink" Target="https://khub.net/group/pheeastofengland"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sph.org.uk/resourceLibrary/healthy-conversations-and-the-allied-health-professionals.html" TargetMode="External"/><Relationship Id="rId17" Type="http://schemas.openxmlformats.org/officeDocument/2006/relationships/hyperlink" Target="https://assets.publishing.service.gov.uk/government/uploads/system/uploads/attachment_data/file/769488/MECC_Implememenation_guide_v2.pdf" TargetMode="External"/><Relationship Id="rId25" Type="http://schemas.openxmlformats.org/officeDocument/2006/relationships/hyperlink" Target="https://www.nice.org.uk/guidance/ph49" TargetMode="External"/><Relationship Id="rId33" Type="http://schemas.openxmlformats.org/officeDocument/2006/relationships/hyperlink" Target="https://www.nhs.uk/oneyou/for-your-body/drink-less/" TargetMode="External"/><Relationship Id="rId38" Type="http://schemas.openxmlformats.org/officeDocument/2006/relationships/image" Target="media/image5.png"/><Relationship Id="rId46" Type="http://schemas.openxmlformats.org/officeDocument/2006/relationships/hyperlink" Target="https://khub.net/documents/28020229/29427771/20181206DementiaAgeingWell.docx/a2ca3004-e47d-888c-a3f4-77c8009ca0ba" TargetMode="External"/><Relationship Id="rId2" Type="http://schemas.openxmlformats.org/officeDocument/2006/relationships/numbering" Target="numbering.xml"/><Relationship Id="rId16" Type="http://schemas.openxmlformats.org/officeDocument/2006/relationships/hyperlink" Target="https://www.gov.uk/government/publications/social-prescribing-applying-all-our-health/social-prescribing-applying-all-our-health" TargetMode="External"/><Relationship Id="rId20" Type="http://schemas.openxmlformats.org/officeDocument/2006/relationships/hyperlink" Target="https://assets.publishing.service.gov.uk/government/uploads/system/uploads/attachment_data/file/769487/Making_Every__Contact_Count__MECC__Evaluation_framework_March_2016.pdf" TargetMode="External"/><Relationship Id="rId29" Type="http://schemas.openxmlformats.org/officeDocument/2006/relationships/hyperlink" Target="https://www.nhs.uk/oneyou" TargetMode="External"/><Relationship Id="rId41" Type="http://schemas.openxmlformats.org/officeDocument/2006/relationships/hyperlink" Target="https://www.nhs.uk/oneyou/be-healthier/check-your-health/heart-age-tes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69486/Making_Every_Contact_Count_Consensus_Statement.pdf" TargetMode="External"/><Relationship Id="rId24" Type="http://schemas.openxmlformats.org/officeDocument/2006/relationships/hyperlink" Target="https://www.nice.org.uk/guidance/ph6" TargetMode="External"/><Relationship Id="rId32" Type="http://schemas.openxmlformats.org/officeDocument/2006/relationships/image" Target="media/image2.png"/><Relationship Id="rId37" Type="http://schemas.openxmlformats.org/officeDocument/2006/relationships/hyperlink" Target="https://www.nhs.uk/oneyou/for-your-body/eat-better/" TargetMode="External"/><Relationship Id="rId40" Type="http://schemas.openxmlformats.org/officeDocument/2006/relationships/image" Target="media/image6.png"/><Relationship Id="rId45" Type="http://schemas.openxmlformats.org/officeDocument/2006/relationships/hyperlink" Target="https://khub.net/documents/28020229/29427771/Cardiovascular+disease+briefing.docx/b74423e3-b4a7-13bd-2990-3a007551dadc"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all-our-health-personalised-care-and-population-health" TargetMode="External"/><Relationship Id="rId23" Type="http://schemas.openxmlformats.org/officeDocument/2006/relationships/hyperlink" Target="https://stpsupport.nice.org.uk/mecc/index.html" TargetMode="External"/><Relationship Id="rId28" Type="http://schemas.openxmlformats.org/officeDocument/2006/relationships/hyperlink" Target="https://campaignresources.phe.gov.uk/resources" TargetMode="External"/><Relationship Id="rId36" Type="http://schemas.openxmlformats.org/officeDocument/2006/relationships/image" Target="media/image4.png"/><Relationship Id="rId49" Type="http://schemas.openxmlformats.org/officeDocument/2006/relationships/hyperlink" Target="https://www.khub.net/documents/28020229/29427771/Sexual+health+briefing.docx/55384127-ebff-d891-ac44-11b870811fbf?t=1559209322464" TargetMode="External"/><Relationship Id="rId57" Type="http://schemas.openxmlformats.org/officeDocument/2006/relationships/fontTable" Target="fontTable.xml"/><Relationship Id="rId10" Type="http://schemas.openxmlformats.org/officeDocument/2006/relationships/hyperlink" Target="https://www.england.nhs.uk/wp-content/uploads/2019/03/3-FL-SCs-1920-sepsis.pdf" TargetMode="External"/><Relationship Id="rId19" Type="http://schemas.openxmlformats.org/officeDocument/2006/relationships/hyperlink" Target="https://www.rsph.org.uk/uploads/assets/uploaded/2c2132ff-cdac-4864-b1f1ebf3899fce43.pdf" TargetMode="External"/><Relationship Id="rId31" Type="http://schemas.openxmlformats.org/officeDocument/2006/relationships/hyperlink" Target="https://campaignresources.phe.gov.uk/resources/campaigns" TargetMode="External"/><Relationship Id="rId44" Type="http://schemas.openxmlformats.org/officeDocument/2006/relationships/hyperlink" Target="https://www.e-lfh.org.uk/programmes/making-every-contact-count/"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kingeverycontactcount.co.uk/" TargetMode="External"/><Relationship Id="rId14" Type="http://schemas.openxmlformats.org/officeDocument/2006/relationships/hyperlink" Target="https://www.gov.uk/government/publications/all-our-health-about-the-framework/all-our-health-about-the-framework" TargetMode="External"/><Relationship Id="rId22" Type="http://schemas.openxmlformats.org/officeDocument/2006/relationships/hyperlink" Target="https://www.nice.org.uk/guidance/lifestyle-and-wellbeing/behaviour-change" TargetMode="External"/><Relationship Id="rId27" Type="http://schemas.openxmlformats.org/officeDocument/2006/relationships/hyperlink" Target="https://www.whatmatterstoyou.scot/" TargetMode="External"/><Relationship Id="rId30" Type="http://schemas.openxmlformats.org/officeDocument/2006/relationships/hyperlink" Target="https://www.nhs.uk/oneyou/apps/" TargetMode="External"/><Relationship Id="rId35" Type="http://schemas.openxmlformats.org/officeDocument/2006/relationships/hyperlink" Target="https://www.nhs.uk/oneyou/for-your-body/move-more/" TargetMode="External"/><Relationship Id="rId43" Type="http://schemas.openxmlformats.org/officeDocument/2006/relationships/hyperlink" Target="http://www.e-lfh.org.uk/programmes/all-our-health/" TargetMode="External"/><Relationship Id="rId48" Type="http://schemas.openxmlformats.org/officeDocument/2006/relationships/hyperlink" Target="https://khub.net/documents/28020229/29427771/181023PhysicalActivityBriefing.docx/1035815f-70a7-3559-2a62-bae20dbbd8f8"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74C36-9261-4A8C-AB61-BFCD3D47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1</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14248</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Steve Smeeth</dc:creator>
  <cp:keywords/>
  <dc:description/>
  <cp:lastModifiedBy>Fennie Gibbs</cp:lastModifiedBy>
  <cp:revision>4</cp:revision>
  <cp:lastPrinted>2017-11-17T10:36:00Z</cp:lastPrinted>
  <dcterms:created xsi:type="dcterms:W3CDTF">2019-06-10T09:47:00Z</dcterms:created>
  <dcterms:modified xsi:type="dcterms:W3CDTF">2019-06-10T09:56:00Z</dcterms:modified>
</cp:coreProperties>
</file>